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61" w:rsidRPr="00755DF1" w:rsidRDefault="000E7C61" w:rsidP="000E7C61">
      <w:pPr>
        <w:jc w:val="center"/>
        <w:rPr>
          <w:b/>
          <w:u w:val="single"/>
        </w:rPr>
      </w:pPr>
      <w:r w:rsidRPr="00755DF1">
        <w:rPr>
          <w:b/>
          <w:u w:val="single"/>
        </w:rPr>
        <w:t xml:space="preserve">PART </w:t>
      </w:r>
      <w:r w:rsidR="00F22E80">
        <w:rPr>
          <w:b/>
          <w:u w:val="single"/>
        </w:rPr>
        <w:t>R</w:t>
      </w:r>
      <w:r w:rsidRPr="00755DF1">
        <w:rPr>
          <w:b/>
          <w:u w:val="single"/>
        </w:rPr>
        <w:t>46</w:t>
      </w:r>
    </w:p>
    <w:p w:rsidR="000E7C61" w:rsidRPr="00755DF1" w:rsidRDefault="000E7C61" w:rsidP="000E7C61">
      <w:pPr>
        <w:jc w:val="center"/>
      </w:pPr>
    </w:p>
    <w:p w:rsidR="000E7C61" w:rsidRPr="00755DF1" w:rsidRDefault="000E7C61" w:rsidP="000E7C61">
      <w:pPr>
        <w:jc w:val="center"/>
        <w:rPr>
          <w:b/>
          <w:u w:val="single"/>
        </w:rPr>
      </w:pPr>
      <w:r w:rsidRPr="00755DF1">
        <w:rPr>
          <w:b/>
          <w:u w:val="single"/>
        </w:rPr>
        <w:t>APPLICATION OF PAVEMENT MARKING</w:t>
      </w:r>
    </w:p>
    <w:p w:rsidR="000E7C61" w:rsidRPr="00755DF1" w:rsidRDefault="000E7C61" w:rsidP="000E7C61"/>
    <w:p w:rsidR="000E7C61" w:rsidRPr="00755DF1" w:rsidRDefault="000E7C61" w:rsidP="000E7C61"/>
    <w:p w:rsidR="000E7C61" w:rsidRPr="00755DF1" w:rsidRDefault="000E7C61" w:rsidP="000E7C61">
      <w:pPr>
        <w:rPr>
          <w:bCs/>
        </w:rPr>
      </w:pPr>
      <w:r w:rsidRPr="00755DF1">
        <w:rPr>
          <w:b/>
          <w:u w:val="single"/>
        </w:rPr>
        <w:t>CONTENTS</w:t>
      </w:r>
    </w:p>
    <w:p w:rsidR="000E7C61" w:rsidRPr="00755DF1" w:rsidRDefault="000E7C61" w:rsidP="000E7C61"/>
    <w:p w:rsidR="000E7C61" w:rsidRPr="00755DF1" w:rsidRDefault="000E7C61" w:rsidP="00B74F34">
      <w:pPr>
        <w:numPr>
          <w:ilvl w:val="0"/>
          <w:numId w:val="17"/>
        </w:numPr>
        <w:ind w:hanging="720"/>
        <w:jc w:val="left"/>
      </w:pPr>
      <w:r w:rsidRPr="00755DF1">
        <w:t>General</w:t>
      </w:r>
    </w:p>
    <w:p w:rsidR="000E7C61" w:rsidRPr="00755DF1" w:rsidRDefault="000E7C61" w:rsidP="000E7C61">
      <w:pPr>
        <w:numPr>
          <w:ilvl w:val="0"/>
          <w:numId w:val="17"/>
        </w:numPr>
        <w:ind w:hanging="720"/>
      </w:pPr>
      <w:r w:rsidRPr="00755DF1">
        <w:t>Quality Requirements</w:t>
      </w:r>
    </w:p>
    <w:p w:rsidR="000E7C61" w:rsidRPr="00755DF1" w:rsidRDefault="000E7C61" w:rsidP="000E7C61">
      <w:pPr>
        <w:numPr>
          <w:ilvl w:val="0"/>
          <w:numId w:val="17"/>
        </w:numPr>
        <w:ind w:hanging="720"/>
      </w:pPr>
      <w:r w:rsidRPr="00755DF1">
        <w:t>Contractor Accreditation</w:t>
      </w:r>
    </w:p>
    <w:p w:rsidR="000E7C61" w:rsidRPr="00755DF1" w:rsidRDefault="000E7C61" w:rsidP="000E7C61">
      <w:pPr>
        <w:numPr>
          <w:ilvl w:val="0"/>
          <w:numId w:val="17"/>
        </w:numPr>
        <w:ind w:hanging="720"/>
      </w:pPr>
      <w:r w:rsidRPr="00755DF1">
        <w:t>Materials</w:t>
      </w:r>
    </w:p>
    <w:p w:rsidR="000E7C61" w:rsidRPr="00755DF1" w:rsidRDefault="000E7C61" w:rsidP="000E7C61">
      <w:pPr>
        <w:numPr>
          <w:ilvl w:val="0"/>
          <w:numId w:val="17"/>
        </w:numPr>
        <w:ind w:hanging="720"/>
      </w:pPr>
      <w:r w:rsidRPr="00755DF1">
        <w:t>Application of Pavement Marking</w:t>
      </w:r>
    </w:p>
    <w:p w:rsidR="000E7C61" w:rsidRPr="00755DF1" w:rsidRDefault="000E7C61" w:rsidP="000E7C61">
      <w:pPr>
        <w:numPr>
          <w:ilvl w:val="0"/>
          <w:numId w:val="17"/>
        </w:numPr>
        <w:ind w:hanging="720"/>
      </w:pPr>
      <w:r w:rsidRPr="00755DF1">
        <w:t>Raised Pavement Markers</w:t>
      </w:r>
    </w:p>
    <w:p w:rsidR="000E7C61" w:rsidRPr="00755DF1" w:rsidRDefault="000E7C61" w:rsidP="000E7C61">
      <w:pPr>
        <w:numPr>
          <w:ilvl w:val="0"/>
          <w:numId w:val="17"/>
        </w:numPr>
        <w:ind w:hanging="720"/>
      </w:pPr>
      <w:r w:rsidRPr="00755DF1">
        <w:t>Pavement Bars</w:t>
      </w:r>
    </w:p>
    <w:p w:rsidR="000E7C61" w:rsidRPr="00755DF1" w:rsidRDefault="000E7C61" w:rsidP="000E7C61">
      <w:pPr>
        <w:numPr>
          <w:ilvl w:val="0"/>
          <w:numId w:val="17"/>
        </w:numPr>
        <w:ind w:hanging="720"/>
      </w:pPr>
      <w:r w:rsidRPr="00755DF1">
        <w:t>Retroreflectivity</w:t>
      </w:r>
    </w:p>
    <w:p w:rsidR="000E7C61" w:rsidRPr="00755DF1" w:rsidRDefault="000E7C61" w:rsidP="000E7C61">
      <w:pPr>
        <w:numPr>
          <w:ilvl w:val="0"/>
          <w:numId w:val="17"/>
        </w:numPr>
        <w:ind w:hanging="720"/>
      </w:pPr>
      <w:r w:rsidRPr="00755DF1">
        <w:t>Skid Resistance</w:t>
      </w:r>
    </w:p>
    <w:p w:rsidR="000E7C61" w:rsidRPr="00755DF1" w:rsidRDefault="000E7C61" w:rsidP="000E7C61">
      <w:pPr>
        <w:numPr>
          <w:ilvl w:val="0"/>
          <w:numId w:val="17"/>
        </w:numPr>
        <w:ind w:hanging="720"/>
      </w:pPr>
      <w:r w:rsidRPr="00755DF1">
        <w:t>Test Procedures</w:t>
      </w:r>
    </w:p>
    <w:p w:rsidR="000E7C61" w:rsidRPr="00755DF1" w:rsidRDefault="000E7C61" w:rsidP="000E7C61">
      <w:pPr>
        <w:numPr>
          <w:ilvl w:val="0"/>
          <w:numId w:val="17"/>
        </w:numPr>
        <w:ind w:hanging="720"/>
      </w:pPr>
      <w:r w:rsidRPr="00755DF1">
        <w:t>Hold Points</w:t>
      </w:r>
    </w:p>
    <w:p w:rsidR="000E7C61" w:rsidRPr="00755DF1" w:rsidRDefault="000E7C61" w:rsidP="000E7C61">
      <w:pPr>
        <w:numPr>
          <w:ilvl w:val="0"/>
          <w:numId w:val="17"/>
        </w:numPr>
        <w:ind w:hanging="720"/>
      </w:pPr>
      <w:r w:rsidRPr="00755DF1">
        <w:t>Verification Requirements and Records</w:t>
      </w:r>
    </w:p>
    <w:p w:rsidR="000E7C61" w:rsidRPr="00755DF1" w:rsidRDefault="000E7C61" w:rsidP="000E7C61">
      <w:pPr>
        <w:numPr>
          <w:ilvl w:val="0"/>
          <w:numId w:val="17"/>
        </w:numPr>
        <w:ind w:hanging="720"/>
      </w:pPr>
      <w:r w:rsidRPr="00755DF1">
        <w:t>Measurement</w:t>
      </w:r>
    </w:p>
    <w:p w:rsidR="000E7C61" w:rsidRPr="00755DF1" w:rsidRDefault="000E7C61" w:rsidP="000E7C61"/>
    <w:p w:rsidR="000E7C61" w:rsidRPr="00755DF1" w:rsidRDefault="000E7C61" w:rsidP="00123EBF">
      <w:pPr>
        <w:numPr>
          <w:ilvl w:val="0"/>
          <w:numId w:val="29"/>
        </w:numPr>
        <w:rPr>
          <w:b/>
          <w:u w:val="single"/>
        </w:rPr>
      </w:pPr>
      <w:r w:rsidRPr="00755DF1">
        <w:rPr>
          <w:b/>
          <w:u w:val="single"/>
        </w:rPr>
        <w:t>GENERAL</w:t>
      </w:r>
    </w:p>
    <w:p w:rsidR="000E7C61" w:rsidRPr="00755DF1" w:rsidRDefault="000E7C61" w:rsidP="000E7C61"/>
    <w:p w:rsidR="000E7C61" w:rsidRPr="00755DF1" w:rsidRDefault="000E7C61" w:rsidP="000E7C61">
      <w:pPr>
        <w:jc w:val="left"/>
      </w:pPr>
      <w:r w:rsidRPr="00755DF1">
        <w:t>This Part specifies the requirements for the application of pavement marking.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rPr>
          <w:b/>
          <w:bCs/>
        </w:rPr>
        <w:t>"Pavement Marking"</w:t>
      </w:r>
      <w:r w:rsidRPr="00755DF1">
        <w:t xml:space="preserve"> means the supply and application of line marking, road marking, pavement bars and raised pavement markers.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rPr>
          <w:b/>
          <w:bCs/>
        </w:rPr>
        <w:t>"Line Marking"</w:t>
      </w:r>
      <w:r w:rsidRPr="00755DF1">
        <w:t xml:space="preserve"> means all longitudinal lines.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rPr>
          <w:b/>
          <w:bCs/>
        </w:rPr>
        <w:t>"Road Marking"</w:t>
      </w:r>
      <w:r w:rsidRPr="00755DF1">
        <w:t xml:space="preserve"> means transverse lines, arrows, symbols, chevrons, diagonals, messages and traffic island and median kerbing.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rPr>
          <w:b/>
          <w:bCs/>
        </w:rPr>
        <w:t>"New Work"</w:t>
      </w:r>
      <w:r w:rsidRPr="00755DF1">
        <w:t xml:space="preserve"> means the supply and application of pavement marking to an unmarked surface or the modification of existing markings.</w:t>
      </w:r>
    </w:p>
    <w:p w:rsidR="000E7C61" w:rsidRPr="00755DF1" w:rsidRDefault="000E7C61" w:rsidP="000E7C61">
      <w:pPr>
        <w:jc w:val="left"/>
        <w:rPr>
          <w:bCs/>
        </w:rPr>
      </w:pPr>
    </w:p>
    <w:p w:rsidR="000E7C61" w:rsidRPr="00755DF1" w:rsidRDefault="000E7C61" w:rsidP="000E7C61">
      <w:pPr>
        <w:jc w:val="left"/>
      </w:pPr>
      <w:r w:rsidRPr="00755DF1">
        <w:rPr>
          <w:b/>
          <w:bCs/>
        </w:rPr>
        <w:t>"Maintenance Repainting"</w:t>
      </w:r>
      <w:r w:rsidRPr="00755DF1">
        <w:t xml:space="preserve"> means the supply and application of a single coat of paint to a previously painted surface.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rPr>
          <w:b/>
        </w:rPr>
        <w:t>“PCCP”</w:t>
      </w:r>
      <w:r w:rsidRPr="00755DF1">
        <w:t xml:space="preserve"> means </w:t>
      </w:r>
      <w:r w:rsidRPr="00755DF1">
        <w:rPr>
          <w:bCs/>
        </w:rPr>
        <w:t xml:space="preserve">Painting Contractors Certification Program (refer </w:t>
      </w:r>
      <w:hyperlink r:id="rId7" w:history="1">
        <w:r w:rsidRPr="00E8694D">
          <w:rPr>
            <w:rStyle w:val="Hyperlink"/>
            <w:bCs/>
          </w:rPr>
          <w:t>www.apas.gov.au</w:t>
        </w:r>
        <w:r w:rsidRPr="00E8694D">
          <w:rPr>
            <w:rStyle w:val="Hyperlink"/>
            <w:bCs/>
          </w:rPr>
          <w:t>/</w:t>
        </w:r>
        <w:r w:rsidRPr="00E8694D">
          <w:rPr>
            <w:rStyle w:val="Hyperlink"/>
            <w:bCs/>
          </w:rPr>
          <w:t>pccp</w:t>
        </w:r>
      </w:hyperlink>
      <w:r w:rsidRPr="00755DF1">
        <w:rPr>
          <w:bCs/>
        </w:rPr>
        <w:t>).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Other terms </w:t>
      </w:r>
      <w:r w:rsidR="007605D8">
        <w:t>must</w:t>
      </w:r>
      <w:r w:rsidRPr="00755DF1">
        <w:t xml:space="preserve"> be as defined in the </w:t>
      </w:r>
      <w:r w:rsidR="00B97AE6">
        <w:t>DPTI</w:t>
      </w:r>
      <w:r w:rsidRPr="00755DF1">
        <w:t xml:space="preserve"> Pavement Marking Manual, available from: </w:t>
      </w:r>
      <w:r w:rsidR="00E8694D" w:rsidRPr="00E8694D">
        <w:rPr>
          <w:color w:val="0000FF"/>
        </w:rPr>
        <w:t>http://www.dpti.sa.gov.au/standards/tass</w:t>
      </w:r>
      <w:r w:rsidRPr="00755DF1">
        <w:t>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123EBF">
      <w:pPr>
        <w:numPr>
          <w:ilvl w:val="0"/>
          <w:numId w:val="29"/>
        </w:numPr>
        <w:rPr>
          <w:b/>
        </w:rPr>
      </w:pPr>
      <w:r w:rsidRPr="00755DF1">
        <w:rPr>
          <w:b/>
          <w:u w:val="single"/>
        </w:rPr>
        <w:t>QUALITY REQUIREMENTS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The Contractor </w:t>
      </w:r>
      <w:r w:rsidR="007605D8">
        <w:t>must</w:t>
      </w:r>
      <w:r w:rsidRPr="00755DF1">
        <w:t xml:space="preserve"> prepare and implement a Quality Plan that includes detailed procedures for:</w:t>
      </w:r>
    </w:p>
    <w:p w:rsidR="000E7C61" w:rsidRPr="00755DF1" w:rsidRDefault="000E7C61" w:rsidP="000E7C61">
      <w:pPr>
        <w:numPr>
          <w:ilvl w:val="0"/>
          <w:numId w:val="8"/>
        </w:numPr>
        <w:spacing w:before="120"/>
        <w:jc w:val="left"/>
        <w:rPr>
          <w:iCs/>
        </w:rPr>
      </w:pPr>
      <w:r w:rsidRPr="00755DF1">
        <w:rPr>
          <w:iCs/>
        </w:rPr>
        <w:t>ensuring that the plant, processes and personnel used to apply pavement marking comply with the specified certification requirements and are capable of delivering the quality of marking required;</w:t>
      </w:r>
    </w:p>
    <w:p w:rsidR="000E7C61" w:rsidRPr="00755DF1" w:rsidRDefault="000E7C61" w:rsidP="000E7C61">
      <w:pPr>
        <w:numPr>
          <w:ilvl w:val="0"/>
          <w:numId w:val="8"/>
        </w:numPr>
        <w:spacing w:before="120"/>
        <w:jc w:val="left"/>
        <w:rPr>
          <w:iCs/>
        </w:rPr>
      </w:pPr>
      <w:r w:rsidRPr="00755DF1">
        <w:rPr>
          <w:iCs/>
        </w:rPr>
        <w:t>controlling the quality of materials used;</w:t>
      </w:r>
    </w:p>
    <w:p w:rsidR="000E7C61" w:rsidRPr="00755DF1" w:rsidRDefault="000E7C61" w:rsidP="000E7C61">
      <w:pPr>
        <w:numPr>
          <w:ilvl w:val="0"/>
          <w:numId w:val="8"/>
        </w:numPr>
        <w:spacing w:before="120"/>
        <w:jc w:val="left"/>
        <w:rPr>
          <w:iCs/>
        </w:rPr>
      </w:pPr>
      <w:r w:rsidRPr="00755DF1">
        <w:rPr>
          <w:iCs/>
        </w:rPr>
        <w:t>verifying that materials have been applied at the specified application rates; and</w:t>
      </w:r>
    </w:p>
    <w:p w:rsidR="000E7C61" w:rsidRPr="00755DF1" w:rsidRDefault="000E7C61" w:rsidP="000E7C61">
      <w:pPr>
        <w:numPr>
          <w:ilvl w:val="0"/>
          <w:numId w:val="8"/>
        </w:numPr>
        <w:spacing w:before="120"/>
        <w:jc w:val="left"/>
        <w:rPr>
          <w:iCs/>
        </w:rPr>
      </w:pPr>
      <w:r w:rsidRPr="00755DF1">
        <w:rPr>
          <w:iCs/>
        </w:rPr>
        <w:t>verifying that the field performance meets specified requirements.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If not submitted beforehand, the procedures </w:t>
      </w:r>
      <w:r w:rsidR="007605D8">
        <w:t>must</w:t>
      </w:r>
      <w:r w:rsidRPr="00755DF1">
        <w:t xml:space="preserve"> be submitted at least 28 days prior to the commencement of site work.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Provision of the procedures listed in this Clause </w:t>
      </w:r>
      <w:r w:rsidR="000733AE">
        <w:t xml:space="preserve">shall constitute </w:t>
      </w:r>
      <w:r w:rsidRPr="00755DF1">
        <w:t xml:space="preserve">a </w:t>
      </w:r>
      <w:r w:rsidRPr="00755DF1">
        <w:rPr>
          <w:b/>
          <w:caps/>
        </w:rPr>
        <w:t>hold point</w:t>
      </w:r>
      <w:r w:rsidRPr="00755DF1">
        <w:t>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123EBF">
      <w:pPr>
        <w:numPr>
          <w:ilvl w:val="0"/>
          <w:numId w:val="29"/>
        </w:numPr>
        <w:rPr>
          <w:b/>
        </w:rPr>
      </w:pPr>
      <w:r w:rsidRPr="00755DF1">
        <w:rPr>
          <w:b/>
        </w:rPr>
        <w:br w:type="page"/>
      </w:r>
      <w:r w:rsidRPr="00123EBF">
        <w:rPr>
          <w:b/>
          <w:u w:val="single"/>
        </w:rPr>
        <w:lastRenderedPageBreak/>
        <w:t>CONTRACTOR</w:t>
      </w:r>
      <w:r w:rsidRPr="00755DF1">
        <w:rPr>
          <w:b/>
          <w:bCs/>
          <w:u w:val="single"/>
        </w:rPr>
        <w:t xml:space="preserve"> ACCREDITATION</w:t>
      </w:r>
    </w:p>
    <w:p w:rsidR="000E7C61" w:rsidRPr="0031648A" w:rsidRDefault="000E7C61" w:rsidP="000E7C61">
      <w:pPr>
        <w:jc w:val="left"/>
      </w:pPr>
    </w:p>
    <w:p w:rsidR="000E7C61" w:rsidRPr="0031648A" w:rsidRDefault="00581FF5" w:rsidP="000E7C61">
      <w:pPr>
        <w:jc w:val="left"/>
      </w:pPr>
      <w:r>
        <w:t>The work must be undertaken by a company that has</w:t>
      </w:r>
      <w:r>
        <w:rPr>
          <w:rFonts w:cs="Arial"/>
        </w:rPr>
        <w:t xml:space="preserve"> </w:t>
      </w:r>
      <w:r w:rsidR="000E7C61" w:rsidRPr="0031648A">
        <w:t xml:space="preserve">PCCP </w:t>
      </w:r>
      <w:r w:rsidR="000D1BF5" w:rsidRPr="0031648A">
        <w:t>accreditation</w:t>
      </w:r>
      <w:r w:rsidR="000E7C61" w:rsidRPr="0031648A">
        <w:t xml:space="preserve"> </w:t>
      </w:r>
      <w:r w:rsidR="00E34A21">
        <w:t xml:space="preserve">appropriate </w:t>
      </w:r>
      <w:r w:rsidR="000E7C61" w:rsidRPr="0031648A">
        <w:t xml:space="preserve">for </w:t>
      </w:r>
      <w:r w:rsidR="000D1BF5" w:rsidRPr="0031648A">
        <w:t xml:space="preserve">the type of work being </w:t>
      </w:r>
      <w:r w:rsidR="00E34A21">
        <w:t>undertaken</w:t>
      </w:r>
      <w:r w:rsidR="0031648A">
        <w:t xml:space="preserve"> in accordance with Table 3.</w:t>
      </w:r>
    </w:p>
    <w:p w:rsidR="000D1BF5" w:rsidRPr="0031648A" w:rsidRDefault="000D1BF5" w:rsidP="000E7C61">
      <w:pPr>
        <w:jc w:val="left"/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42"/>
        <w:gridCol w:w="4536"/>
        <w:gridCol w:w="2410"/>
        <w:gridCol w:w="1383"/>
      </w:tblGrid>
      <w:tr w:rsidR="0031648A" w:rsidRPr="0031648A" w:rsidTr="007B242A">
        <w:trPr>
          <w:trHeight w:val="393"/>
        </w:trPr>
        <w:tc>
          <w:tcPr>
            <w:tcW w:w="9571" w:type="dxa"/>
            <w:gridSpan w:val="4"/>
          </w:tcPr>
          <w:p w:rsidR="0031648A" w:rsidRPr="007B242A" w:rsidRDefault="0031648A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TABLE 3. PCCP ACCREDITATION</w:t>
            </w:r>
          </w:p>
        </w:tc>
      </w:tr>
      <w:tr w:rsidR="005D6AB0" w:rsidRPr="0031648A" w:rsidTr="007B242A">
        <w:trPr>
          <w:trHeight w:val="393"/>
        </w:trPr>
        <w:tc>
          <w:tcPr>
            <w:tcW w:w="1242" w:type="dxa"/>
          </w:tcPr>
          <w:p w:rsidR="005D6AB0" w:rsidRPr="007B242A" w:rsidRDefault="005D6AB0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Class</w:t>
            </w:r>
          </w:p>
        </w:tc>
        <w:tc>
          <w:tcPr>
            <w:tcW w:w="4536" w:type="dxa"/>
          </w:tcPr>
          <w:p w:rsidR="005D6AB0" w:rsidRPr="007B242A" w:rsidRDefault="005D6AB0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Accreditation Class Description</w:t>
            </w:r>
          </w:p>
        </w:tc>
        <w:tc>
          <w:tcPr>
            <w:tcW w:w="2410" w:type="dxa"/>
          </w:tcPr>
          <w:p w:rsidR="005D6AB0" w:rsidRPr="007B242A" w:rsidRDefault="005D6AB0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Materials</w:t>
            </w:r>
          </w:p>
        </w:tc>
        <w:tc>
          <w:tcPr>
            <w:tcW w:w="1383" w:type="dxa"/>
          </w:tcPr>
          <w:p w:rsidR="005D6AB0" w:rsidRPr="007B242A" w:rsidRDefault="005D6AB0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Sub-class</w:t>
            </w:r>
          </w:p>
        </w:tc>
      </w:tr>
      <w:tr w:rsidR="00743B5A" w:rsidRPr="0031648A" w:rsidTr="007B242A">
        <w:trPr>
          <w:trHeight w:val="571"/>
        </w:trPr>
        <w:tc>
          <w:tcPr>
            <w:tcW w:w="1242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20</w:t>
            </w:r>
          </w:p>
        </w:tc>
        <w:tc>
          <w:tcPr>
            <w:tcW w:w="4536" w:type="dxa"/>
          </w:tcPr>
          <w:p w:rsidR="00743B5A" w:rsidRPr="0031648A" w:rsidRDefault="00DF7EC6" w:rsidP="007B242A">
            <w:pPr>
              <w:spacing w:before="60" w:after="60"/>
              <w:jc w:val="left"/>
            </w:pPr>
            <w:r w:rsidRPr="0031648A">
              <w:t>Long-run longitudinal pavement marking on major roads</w:t>
            </w:r>
          </w:p>
        </w:tc>
        <w:tc>
          <w:tcPr>
            <w:tcW w:w="2410" w:type="dxa"/>
          </w:tcPr>
          <w:p w:rsidR="00743B5A" w:rsidRPr="0031648A" w:rsidRDefault="00743B5A" w:rsidP="007B242A">
            <w:pPr>
              <w:spacing w:before="60" w:after="60"/>
              <w:jc w:val="left"/>
            </w:pPr>
            <w:r w:rsidRPr="0031648A">
              <w:t>Paint</w:t>
            </w:r>
          </w:p>
        </w:tc>
        <w:tc>
          <w:tcPr>
            <w:tcW w:w="1383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Class 20-1</w:t>
            </w:r>
          </w:p>
        </w:tc>
      </w:tr>
      <w:tr w:rsidR="00743B5A" w:rsidRPr="0031648A" w:rsidTr="007B242A">
        <w:trPr>
          <w:trHeight w:val="551"/>
        </w:trPr>
        <w:tc>
          <w:tcPr>
            <w:tcW w:w="1242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21</w:t>
            </w:r>
          </w:p>
        </w:tc>
        <w:tc>
          <w:tcPr>
            <w:tcW w:w="4536" w:type="dxa"/>
          </w:tcPr>
          <w:p w:rsidR="00743B5A" w:rsidRPr="0031648A" w:rsidRDefault="00DF7EC6" w:rsidP="007B242A">
            <w:pPr>
              <w:spacing w:before="60" w:after="60"/>
              <w:jc w:val="left"/>
            </w:pPr>
            <w:r w:rsidRPr="0031648A">
              <w:t>Short to medium-run longitudinal pavement marking on minor roads</w:t>
            </w:r>
          </w:p>
        </w:tc>
        <w:tc>
          <w:tcPr>
            <w:tcW w:w="2410" w:type="dxa"/>
          </w:tcPr>
          <w:p w:rsidR="00743B5A" w:rsidRPr="0031648A" w:rsidRDefault="00743B5A" w:rsidP="007B242A">
            <w:pPr>
              <w:spacing w:before="60" w:after="60"/>
              <w:jc w:val="left"/>
            </w:pPr>
            <w:r w:rsidRPr="0031648A">
              <w:t>Paint</w:t>
            </w:r>
          </w:p>
        </w:tc>
        <w:tc>
          <w:tcPr>
            <w:tcW w:w="1383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Class 21-1</w:t>
            </w:r>
          </w:p>
        </w:tc>
      </w:tr>
      <w:tr w:rsidR="00743B5A" w:rsidRPr="0031648A" w:rsidTr="007B242A">
        <w:trPr>
          <w:trHeight w:val="275"/>
        </w:trPr>
        <w:tc>
          <w:tcPr>
            <w:tcW w:w="1242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23</w:t>
            </w:r>
          </w:p>
        </w:tc>
        <w:tc>
          <w:tcPr>
            <w:tcW w:w="4536" w:type="dxa"/>
          </w:tcPr>
          <w:p w:rsidR="00B77092" w:rsidRPr="0031648A" w:rsidRDefault="00DF7EC6" w:rsidP="007B242A">
            <w:pPr>
              <w:spacing w:before="60" w:after="60"/>
              <w:jc w:val="left"/>
            </w:pPr>
            <w:r w:rsidRPr="0031648A">
              <w:t>Pavement marking; Car park</w:t>
            </w:r>
          </w:p>
        </w:tc>
        <w:tc>
          <w:tcPr>
            <w:tcW w:w="2410" w:type="dxa"/>
          </w:tcPr>
          <w:p w:rsidR="00743B5A" w:rsidRPr="0031648A" w:rsidRDefault="00743B5A" w:rsidP="007B242A">
            <w:pPr>
              <w:spacing w:before="60" w:after="60"/>
              <w:jc w:val="left"/>
            </w:pPr>
            <w:r w:rsidRPr="0031648A">
              <w:t>Paint</w:t>
            </w:r>
          </w:p>
        </w:tc>
        <w:tc>
          <w:tcPr>
            <w:tcW w:w="1383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Class 23-1</w:t>
            </w:r>
          </w:p>
        </w:tc>
      </w:tr>
      <w:tr w:rsidR="00743B5A" w:rsidRPr="0031648A" w:rsidTr="00FB0653">
        <w:tc>
          <w:tcPr>
            <w:tcW w:w="1242" w:type="dxa"/>
            <w:vMerge w:val="restart"/>
            <w:vAlign w:val="center"/>
          </w:tcPr>
          <w:p w:rsidR="00743B5A" w:rsidRPr="0031648A" w:rsidRDefault="00743B5A" w:rsidP="0029138C">
            <w:pPr>
              <w:spacing w:before="60" w:after="60"/>
              <w:jc w:val="center"/>
            </w:pPr>
            <w:r w:rsidRPr="0031648A">
              <w:t>24</w:t>
            </w:r>
          </w:p>
        </w:tc>
        <w:tc>
          <w:tcPr>
            <w:tcW w:w="4536" w:type="dxa"/>
            <w:vMerge w:val="restart"/>
            <w:vAlign w:val="center"/>
          </w:tcPr>
          <w:p w:rsidR="00743B5A" w:rsidRPr="0031648A" w:rsidRDefault="00DF7EC6" w:rsidP="00FB0653">
            <w:pPr>
              <w:spacing w:before="60" w:after="60"/>
              <w:jc w:val="left"/>
            </w:pPr>
            <w:r w:rsidRPr="0031648A">
              <w:t>Transverse pavement marking including i</w:t>
            </w:r>
            <w:r w:rsidR="00743B5A" w:rsidRPr="0031648A">
              <w:t>ntersection</w:t>
            </w:r>
            <w:r w:rsidRPr="0031648A">
              <w:t>s &amp; messaging</w:t>
            </w:r>
          </w:p>
        </w:tc>
        <w:tc>
          <w:tcPr>
            <w:tcW w:w="2410" w:type="dxa"/>
          </w:tcPr>
          <w:p w:rsidR="00743B5A" w:rsidRPr="0031648A" w:rsidRDefault="00743B5A" w:rsidP="007B242A">
            <w:pPr>
              <w:spacing w:before="60" w:after="60"/>
              <w:jc w:val="left"/>
            </w:pPr>
            <w:r w:rsidRPr="0031648A">
              <w:t>Thermoplastic</w:t>
            </w:r>
          </w:p>
        </w:tc>
        <w:tc>
          <w:tcPr>
            <w:tcW w:w="1383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Class 24-2</w:t>
            </w:r>
          </w:p>
        </w:tc>
      </w:tr>
      <w:tr w:rsidR="00743B5A" w:rsidRPr="0031648A" w:rsidTr="007B242A">
        <w:tc>
          <w:tcPr>
            <w:tcW w:w="1242" w:type="dxa"/>
            <w:vMerge/>
          </w:tcPr>
          <w:p w:rsidR="00743B5A" w:rsidRPr="0031648A" w:rsidRDefault="00743B5A" w:rsidP="007B242A">
            <w:pPr>
              <w:spacing w:before="60" w:after="60"/>
              <w:jc w:val="center"/>
            </w:pPr>
          </w:p>
        </w:tc>
        <w:tc>
          <w:tcPr>
            <w:tcW w:w="4536" w:type="dxa"/>
            <w:vMerge/>
          </w:tcPr>
          <w:p w:rsidR="00743B5A" w:rsidRPr="0031648A" w:rsidRDefault="00743B5A" w:rsidP="007B242A">
            <w:pPr>
              <w:spacing w:before="60" w:after="60"/>
              <w:jc w:val="left"/>
            </w:pPr>
          </w:p>
        </w:tc>
        <w:tc>
          <w:tcPr>
            <w:tcW w:w="2410" w:type="dxa"/>
          </w:tcPr>
          <w:p w:rsidR="00743B5A" w:rsidRPr="0031648A" w:rsidRDefault="00743B5A" w:rsidP="007B242A">
            <w:pPr>
              <w:spacing w:before="60" w:after="60"/>
              <w:jc w:val="left"/>
            </w:pPr>
            <w:r w:rsidRPr="0031648A">
              <w:t>Multi-component</w:t>
            </w:r>
            <w:r w:rsidR="00D05794" w:rsidRPr="0031648A">
              <w:t>/CAP</w:t>
            </w:r>
          </w:p>
        </w:tc>
        <w:tc>
          <w:tcPr>
            <w:tcW w:w="1383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Class 24-3</w:t>
            </w:r>
          </w:p>
        </w:tc>
      </w:tr>
      <w:tr w:rsidR="00743B5A" w:rsidRPr="0031648A" w:rsidTr="007B242A">
        <w:tc>
          <w:tcPr>
            <w:tcW w:w="1242" w:type="dxa"/>
            <w:vMerge/>
          </w:tcPr>
          <w:p w:rsidR="00743B5A" w:rsidRPr="0031648A" w:rsidRDefault="00743B5A" w:rsidP="007B242A">
            <w:pPr>
              <w:spacing w:before="60" w:after="60"/>
              <w:jc w:val="center"/>
            </w:pPr>
          </w:p>
        </w:tc>
        <w:tc>
          <w:tcPr>
            <w:tcW w:w="4536" w:type="dxa"/>
            <w:vMerge/>
          </w:tcPr>
          <w:p w:rsidR="00743B5A" w:rsidRPr="0031648A" w:rsidRDefault="00743B5A" w:rsidP="007B242A">
            <w:pPr>
              <w:spacing w:before="60" w:after="60"/>
              <w:jc w:val="left"/>
            </w:pPr>
          </w:p>
        </w:tc>
        <w:tc>
          <w:tcPr>
            <w:tcW w:w="2410" w:type="dxa"/>
          </w:tcPr>
          <w:p w:rsidR="00743B5A" w:rsidRPr="0031648A" w:rsidRDefault="00743B5A" w:rsidP="007B242A">
            <w:pPr>
              <w:spacing w:before="60" w:after="60"/>
              <w:jc w:val="left"/>
            </w:pPr>
            <w:r w:rsidRPr="0031648A">
              <w:t>Non-skid Paint</w:t>
            </w:r>
          </w:p>
        </w:tc>
        <w:tc>
          <w:tcPr>
            <w:tcW w:w="1383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Class 24-4</w:t>
            </w:r>
          </w:p>
        </w:tc>
      </w:tr>
      <w:tr w:rsidR="00743B5A" w:rsidRPr="0031648A" w:rsidTr="007B242A">
        <w:tc>
          <w:tcPr>
            <w:tcW w:w="1242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25</w:t>
            </w:r>
          </w:p>
        </w:tc>
        <w:tc>
          <w:tcPr>
            <w:tcW w:w="4536" w:type="dxa"/>
          </w:tcPr>
          <w:p w:rsidR="00743B5A" w:rsidRPr="0031648A" w:rsidRDefault="00743B5A" w:rsidP="007B242A">
            <w:pPr>
              <w:spacing w:before="60" w:after="60"/>
              <w:jc w:val="left"/>
            </w:pPr>
            <w:r w:rsidRPr="0031648A">
              <w:t>Raised Pavement Marker/Pavement Bar Installation</w:t>
            </w:r>
          </w:p>
        </w:tc>
        <w:tc>
          <w:tcPr>
            <w:tcW w:w="2410" w:type="dxa"/>
          </w:tcPr>
          <w:p w:rsidR="00743B5A" w:rsidRPr="0031648A" w:rsidRDefault="00743B5A" w:rsidP="007B242A">
            <w:pPr>
              <w:spacing w:before="60" w:after="60"/>
              <w:jc w:val="left"/>
            </w:pPr>
          </w:p>
        </w:tc>
        <w:tc>
          <w:tcPr>
            <w:tcW w:w="1383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Class 25-1</w:t>
            </w:r>
          </w:p>
        </w:tc>
      </w:tr>
      <w:tr w:rsidR="00743B5A" w:rsidRPr="0031648A" w:rsidTr="007B242A">
        <w:trPr>
          <w:trHeight w:val="271"/>
        </w:trPr>
        <w:tc>
          <w:tcPr>
            <w:tcW w:w="1242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26</w:t>
            </w:r>
          </w:p>
        </w:tc>
        <w:tc>
          <w:tcPr>
            <w:tcW w:w="4536" w:type="dxa"/>
          </w:tcPr>
          <w:p w:rsidR="00743B5A" w:rsidRPr="0031648A" w:rsidRDefault="00743B5A" w:rsidP="007B242A">
            <w:pPr>
              <w:spacing w:before="60" w:after="60"/>
              <w:jc w:val="left"/>
            </w:pPr>
            <w:r w:rsidRPr="0031648A">
              <w:t>High Friction Surfacings</w:t>
            </w:r>
          </w:p>
        </w:tc>
        <w:tc>
          <w:tcPr>
            <w:tcW w:w="2410" w:type="dxa"/>
          </w:tcPr>
          <w:p w:rsidR="00743B5A" w:rsidRPr="0031648A" w:rsidRDefault="00743B5A" w:rsidP="007B242A">
            <w:pPr>
              <w:spacing w:before="60" w:after="60"/>
              <w:jc w:val="left"/>
            </w:pPr>
            <w:r w:rsidRPr="0031648A">
              <w:t>Coloured Bus/Cycle Lanes</w:t>
            </w:r>
          </w:p>
        </w:tc>
        <w:tc>
          <w:tcPr>
            <w:tcW w:w="1383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Class 26-2</w:t>
            </w:r>
          </w:p>
        </w:tc>
      </w:tr>
      <w:tr w:rsidR="00743B5A" w:rsidRPr="0031648A" w:rsidTr="007B242A">
        <w:tc>
          <w:tcPr>
            <w:tcW w:w="1242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27</w:t>
            </w:r>
          </w:p>
        </w:tc>
        <w:tc>
          <w:tcPr>
            <w:tcW w:w="4536" w:type="dxa"/>
          </w:tcPr>
          <w:p w:rsidR="00743B5A" w:rsidRPr="0031648A" w:rsidRDefault="00DF7EC6" w:rsidP="007B242A">
            <w:pPr>
              <w:spacing w:before="60" w:after="60"/>
              <w:jc w:val="left"/>
            </w:pPr>
            <w:r w:rsidRPr="0031648A">
              <w:t>Pavement m</w:t>
            </w:r>
            <w:r w:rsidR="00743B5A" w:rsidRPr="0031648A">
              <w:t>arking</w:t>
            </w:r>
            <w:r w:rsidRPr="0031648A">
              <w:t>;</w:t>
            </w:r>
            <w:r w:rsidR="00743B5A" w:rsidRPr="0031648A">
              <w:t xml:space="preserve"> Removal</w:t>
            </w:r>
          </w:p>
        </w:tc>
        <w:tc>
          <w:tcPr>
            <w:tcW w:w="2410" w:type="dxa"/>
          </w:tcPr>
          <w:p w:rsidR="00743B5A" w:rsidRPr="0031648A" w:rsidRDefault="00743B5A" w:rsidP="007B242A">
            <w:pPr>
              <w:spacing w:before="60" w:after="60"/>
              <w:jc w:val="left"/>
            </w:pPr>
          </w:p>
        </w:tc>
        <w:tc>
          <w:tcPr>
            <w:tcW w:w="1383" w:type="dxa"/>
          </w:tcPr>
          <w:p w:rsidR="00743B5A" w:rsidRPr="0031648A" w:rsidRDefault="00743B5A" w:rsidP="007B242A">
            <w:pPr>
              <w:spacing w:before="60" w:after="60"/>
              <w:jc w:val="center"/>
            </w:pPr>
            <w:r w:rsidRPr="0031648A">
              <w:t>Class 27-1</w:t>
            </w:r>
          </w:p>
        </w:tc>
      </w:tr>
    </w:tbl>
    <w:p w:rsidR="000D1BF5" w:rsidRDefault="000D1BF5" w:rsidP="000E7C61">
      <w:pPr>
        <w:jc w:val="left"/>
      </w:pPr>
    </w:p>
    <w:p w:rsidR="00123EBF" w:rsidRPr="0031648A" w:rsidRDefault="00123EBF" w:rsidP="000E7C61">
      <w:pPr>
        <w:jc w:val="left"/>
      </w:pPr>
    </w:p>
    <w:p w:rsidR="000E7C61" w:rsidRPr="00755DF1" w:rsidRDefault="000E7C61" w:rsidP="00123EBF">
      <w:pPr>
        <w:numPr>
          <w:ilvl w:val="0"/>
          <w:numId w:val="29"/>
        </w:numPr>
        <w:rPr>
          <w:b/>
        </w:rPr>
      </w:pPr>
      <w:r w:rsidRPr="00755DF1">
        <w:rPr>
          <w:b/>
          <w:u w:val="single"/>
        </w:rPr>
        <w:t>MATERIALS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All pavement marking materials </w:t>
      </w:r>
      <w:r w:rsidR="007605D8">
        <w:t>must</w:t>
      </w:r>
      <w:r w:rsidRPr="00755DF1">
        <w:t xml:space="preserve"> comply with Part </w:t>
      </w:r>
      <w:r w:rsidR="00F22E80">
        <w:t>R</w:t>
      </w:r>
      <w:r w:rsidRPr="00755DF1">
        <w:t>45 "Supply of Pavement Marking Materials".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123EBF">
      <w:pPr>
        <w:numPr>
          <w:ilvl w:val="0"/>
          <w:numId w:val="29"/>
        </w:numPr>
        <w:rPr>
          <w:b/>
        </w:rPr>
      </w:pPr>
      <w:r w:rsidRPr="00755DF1">
        <w:rPr>
          <w:b/>
          <w:u w:val="single"/>
        </w:rPr>
        <w:t>APPLICATION OF PAVEMENT MARKING</w:t>
      </w:r>
    </w:p>
    <w:p w:rsidR="000E7C61" w:rsidRPr="00755DF1" w:rsidRDefault="000E7C61" w:rsidP="000E7C61">
      <w:pPr>
        <w:suppressAutoHyphens/>
        <w:jc w:val="left"/>
        <w:rPr>
          <w:snapToGrid w:val="0"/>
        </w:rPr>
      </w:pPr>
    </w:p>
    <w:p w:rsidR="000E7C61" w:rsidRPr="00755DF1" w:rsidRDefault="000E7C61" w:rsidP="0029138C">
      <w:pPr>
        <w:numPr>
          <w:ilvl w:val="1"/>
          <w:numId w:val="29"/>
        </w:numPr>
        <w:rPr>
          <w:b/>
          <w:snapToGrid w:val="0"/>
        </w:rPr>
      </w:pPr>
      <w:r w:rsidRPr="0029138C">
        <w:rPr>
          <w:b/>
          <w:u w:val="single"/>
        </w:rPr>
        <w:t>General</w:t>
      </w:r>
    </w:p>
    <w:p w:rsidR="000E7C61" w:rsidRPr="00755DF1" w:rsidRDefault="000E7C61" w:rsidP="000E7C61">
      <w:pPr>
        <w:suppressAutoHyphens/>
        <w:jc w:val="left"/>
        <w:rPr>
          <w:snapToGrid w:val="0"/>
        </w:rPr>
      </w:pPr>
    </w:p>
    <w:p w:rsidR="000E7C61" w:rsidRPr="00755DF1" w:rsidRDefault="000E7C61" w:rsidP="000E7C61">
      <w:pPr>
        <w:suppressAutoHyphens/>
        <w:jc w:val="left"/>
        <w:rPr>
          <w:snapToGrid w:val="0"/>
        </w:rPr>
      </w:pPr>
      <w:r w:rsidRPr="00755DF1">
        <w:rPr>
          <w:snapToGrid w:val="0"/>
        </w:rPr>
        <w:t xml:space="preserve">Markings </w:t>
      </w:r>
      <w:r w:rsidR="007605D8">
        <w:rPr>
          <w:snapToGrid w:val="0"/>
        </w:rPr>
        <w:t>must</w:t>
      </w:r>
      <w:r w:rsidRPr="00755DF1">
        <w:rPr>
          <w:snapToGrid w:val="0"/>
        </w:rPr>
        <w:t xml:space="preserve"> be as detailed on the Drawings and in accordance with the </w:t>
      </w:r>
      <w:r w:rsidR="00B97AE6">
        <w:rPr>
          <w:snapToGrid w:val="0"/>
        </w:rPr>
        <w:t>DPTI</w:t>
      </w:r>
      <w:r w:rsidRPr="00755DF1">
        <w:rPr>
          <w:snapToGrid w:val="0"/>
        </w:rPr>
        <w:t xml:space="preserve"> Pavement Marking Manual.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The application of pavement marking to the road surface </w:t>
      </w:r>
      <w:r w:rsidR="007605D8">
        <w:t>must</w:t>
      </w:r>
      <w:r w:rsidRPr="00755DF1">
        <w:t xml:space="preserve"> only take place under the following conditions:</w:t>
      </w:r>
    </w:p>
    <w:p w:rsidR="000E7C61" w:rsidRPr="00755DF1" w:rsidRDefault="000E7C61" w:rsidP="000E7C61">
      <w:pPr>
        <w:numPr>
          <w:ilvl w:val="0"/>
          <w:numId w:val="13"/>
        </w:numPr>
        <w:spacing w:before="120"/>
        <w:jc w:val="left"/>
      </w:pPr>
      <w:r w:rsidRPr="00755DF1">
        <w:t>When the surface is dry and free from foreign matter (e.g. oil, loose material, sealing aggregate, etc);</w:t>
      </w:r>
    </w:p>
    <w:p w:rsidR="000E7C61" w:rsidRPr="00755DF1" w:rsidRDefault="000E7C61" w:rsidP="000E7C61">
      <w:pPr>
        <w:numPr>
          <w:ilvl w:val="0"/>
          <w:numId w:val="13"/>
        </w:numPr>
        <w:spacing w:before="120"/>
        <w:jc w:val="left"/>
      </w:pPr>
      <w:r w:rsidRPr="00755DF1">
        <w:t>At air temperatures &gt;10</w:t>
      </w:r>
      <w:r w:rsidRPr="00755DF1">
        <w:sym w:font="Symbol" w:char="F0B0"/>
      </w:r>
      <w:r w:rsidRPr="00755DF1">
        <w:t>C; and</w:t>
      </w:r>
    </w:p>
    <w:p w:rsidR="000E7C61" w:rsidRPr="00755DF1" w:rsidRDefault="000E7C61" w:rsidP="000E7C61">
      <w:pPr>
        <w:numPr>
          <w:ilvl w:val="0"/>
          <w:numId w:val="13"/>
        </w:numPr>
        <w:spacing w:before="120"/>
        <w:jc w:val="left"/>
      </w:pPr>
      <w:r w:rsidRPr="00755DF1">
        <w:t>When relative humidity is &lt;85%.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Subject to prior approval, the manufacturer’s written recommendations </w:t>
      </w:r>
      <w:r w:rsidR="007605D8">
        <w:t>must</w:t>
      </w:r>
      <w:r w:rsidRPr="00755DF1">
        <w:t xml:space="preserve"> be used if at variance with these criteria.  All data </w:t>
      </w:r>
      <w:r w:rsidR="007605D8">
        <w:t>must</w:t>
      </w:r>
      <w:r w:rsidRPr="00755DF1">
        <w:t xml:space="preserve"> be recorded in the daily diary.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The Contractor </w:t>
      </w:r>
      <w:r w:rsidR="007605D8">
        <w:t>must</w:t>
      </w:r>
      <w:r w:rsidRPr="00755DF1">
        <w:t xml:space="preserve"> undertake mechanical or hand brooming if condition (a) above cannot be achieved by use of a surface cleaning apparatus incorporated in the line marking machine.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29138C">
      <w:pPr>
        <w:numPr>
          <w:ilvl w:val="1"/>
          <w:numId w:val="29"/>
        </w:numPr>
        <w:rPr>
          <w:b/>
        </w:rPr>
      </w:pPr>
      <w:r w:rsidRPr="00755DF1">
        <w:rPr>
          <w:b/>
          <w:u w:val="single"/>
        </w:rPr>
        <w:t>Protection of Work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  <w:r w:rsidRPr="00755DF1">
        <w:rPr>
          <w:spacing w:val="-2"/>
        </w:rPr>
        <w:t xml:space="preserve">Until full curing of the pavement marking  has been achieved, the Contractor </w:t>
      </w:r>
      <w:r w:rsidR="007605D8">
        <w:rPr>
          <w:spacing w:val="-2"/>
        </w:rPr>
        <w:t>must</w:t>
      </w:r>
      <w:r w:rsidRPr="00755DF1">
        <w:rPr>
          <w:spacing w:val="-2"/>
        </w:rPr>
        <w:t xml:space="preserve"> ensure that all work is protected from traffic damage by the use of cones and signs in accordance with AS 1742.3, Clause 3.9.1.</w:t>
      </w:r>
    </w:p>
    <w:p w:rsidR="000E7C61" w:rsidRPr="00755DF1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</w:p>
    <w:p w:rsidR="000E7C61" w:rsidRPr="00755DF1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  <w:r w:rsidRPr="00755DF1">
        <w:rPr>
          <w:spacing w:val="-2"/>
        </w:rPr>
        <w:t xml:space="preserve">If "pick-up" is evident the Contractor </w:t>
      </w:r>
      <w:r w:rsidR="007605D8">
        <w:rPr>
          <w:spacing w:val="-2"/>
        </w:rPr>
        <w:t>must</w:t>
      </w:r>
      <w:r w:rsidRPr="00755DF1">
        <w:rPr>
          <w:spacing w:val="-2"/>
        </w:rPr>
        <w:t xml:space="preserve"> obliterate any "re-distributed” material caused by vehicles passing over uncured work by </w:t>
      </w:r>
      <w:r w:rsidRPr="00755DF1">
        <w:t>removing and/or covering the "re-distributed" material with a treatment of appropriate colour and type to match the existing road surface.</w:t>
      </w:r>
    </w:p>
    <w:p w:rsidR="000E7C61" w:rsidRPr="00755DF1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</w:p>
    <w:p w:rsidR="000E7C61" w:rsidRPr="00755DF1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  <w:r w:rsidRPr="00755DF1">
        <w:rPr>
          <w:spacing w:val="-2"/>
        </w:rPr>
        <w:t xml:space="preserve">The Contractor </w:t>
      </w:r>
      <w:r w:rsidR="007605D8">
        <w:rPr>
          <w:spacing w:val="-2"/>
        </w:rPr>
        <w:t>must</w:t>
      </w:r>
      <w:r w:rsidRPr="00755DF1">
        <w:rPr>
          <w:spacing w:val="-2"/>
        </w:rPr>
        <w:t xml:space="preserve"> reapply pavement marking damaged by vehicles passing over uncured work.</w:t>
      </w:r>
    </w:p>
    <w:p w:rsidR="000E7C61" w:rsidRPr="00755DF1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</w:p>
    <w:p w:rsidR="000E7C61" w:rsidRPr="00755DF1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  <w:r w:rsidRPr="00755DF1">
        <w:rPr>
          <w:spacing w:val="-2"/>
        </w:rPr>
        <w:t xml:space="preserve">Longitudinal line marking </w:t>
      </w:r>
      <w:r w:rsidR="007605D8">
        <w:rPr>
          <w:spacing w:val="-2"/>
        </w:rPr>
        <w:t>must</w:t>
      </w:r>
      <w:r w:rsidRPr="00755DF1">
        <w:rPr>
          <w:spacing w:val="-2"/>
        </w:rPr>
        <w:t xml:space="preserve"> be considered damaged where the initial retroreflectivity measured within 10 days of application using a calibrated low angle retroreflectometer using 30 metre geometry is below 240 mcd/m</w:t>
      </w:r>
      <w:r w:rsidRPr="00755DF1">
        <w:rPr>
          <w:rFonts w:ascii="Times" w:hAnsi="Times"/>
          <w:spacing w:val="-2"/>
          <w:vertAlign w:val="superscript"/>
        </w:rPr>
        <w:t>2</w:t>
      </w:r>
      <w:r w:rsidRPr="00755DF1">
        <w:rPr>
          <w:spacing w:val="-2"/>
        </w:rPr>
        <w:t>/lx.</w:t>
      </w:r>
    </w:p>
    <w:p w:rsidR="000E7C61" w:rsidRPr="00755DF1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</w:p>
    <w:p w:rsidR="000E7C61" w:rsidRPr="00755DF1" w:rsidRDefault="000E7C61" w:rsidP="0029138C">
      <w:pPr>
        <w:numPr>
          <w:ilvl w:val="1"/>
          <w:numId w:val="29"/>
        </w:numPr>
        <w:rPr>
          <w:b/>
        </w:rPr>
      </w:pPr>
      <w:r w:rsidRPr="00755DF1">
        <w:rPr>
          <w:b/>
          <w:u w:val="single"/>
        </w:rPr>
        <w:t>Spotting Alignment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For new work, the Contractor </w:t>
      </w:r>
      <w:r w:rsidR="007605D8">
        <w:t>must</w:t>
      </w:r>
      <w:r w:rsidRPr="00755DF1">
        <w:t xml:space="preserve"> carry out spotting prior to the application of all pavement markings.  Following spotting, the Contractor </w:t>
      </w:r>
      <w:r w:rsidR="007605D8">
        <w:t>must</w:t>
      </w:r>
      <w:r w:rsidRPr="00755DF1">
        <w:t xml:space="preserve"> give 24 hours notice before any pavement marking is applied.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Provision of the above notice </w:t>
      </w:r>
      <w:bookmarkStart w:id="0" w:name="_GoBack"/>
      <w:r w:rsidR="000733AE">
        <w:t xml:space="preserve">shall constitute </w:t>
      </w:r>
      <w:bookmarkEnd w:id="0"/>
      <w:r w:rsidRPr="00755DF1">
        <w:t xml:space="preserve">a </w:t>
      </w:r>
      <w:r w:rsidRPr="00755DF1">
        <w:rPr>
          <w:b/>
        </w:rPr>
        <w:t>HOLD POINT</w:t>
      </w:r>
      <w:r w:rsidRPr="00755DF1">
        <w:t>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29138C">
      <w:pPr>
        <w:numPr>
          <w:ilvl w:val="1"/>
          <w:numId w:val="29"/>
        </w:numPr>
        <w:rPr>
          <w:b/>
          <w:bCs/>
        </w:rPr>
      </w:pPr>
      <w:r w:rsidRPr="00755DF1">
        <w:rPr>
          <w:b/>
          <w:bCs/>
          <w:u w:val="single"/>
        </w:rPr>
        <w:t xml:space="preserve">Paint </w:t>
      </w:r>
      <w:r w:rsidRPr="0029138C">
        <w:rPr>
          <w:b/>
          <w:u w:val="single"/>
        </w:rPr>
        <w:t>Application</w:t>
      </w:r>
      <w:r w:rsidRPr="00755DF1">
        <w:rPr>
          <w:b/>
          <w:bCs/>
          <w:u w:val="single"/>
        </w:rPr>
        <w:t xml:space="preserve"> - General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Unless specified otherwise, longitudinal line work in rural areas </w:t>
      </w:r>
      <w:r w:rsidR="007605D8">
        <w:t>must</w:t>
      </w:r>
      <w:r w:rsidRPr="00755DF1">
        <w:t xml:space="preserve"> be undertaken with a Class A line marking machine.  Longitudinal line marking in the metropolitan area </w:t>
      </w:r>
      <w:r w:rsidR="007605D8">
        <w:t>must</w:t>
      </w:r>
      <w:r w:rsidRPr="00755DF1">
        <w:t xml:space="preserve"> be undertaken with a Class A line marking machine if practicable, otherwise a Class B line marking machine </w:t>
      </w:r>
      <w:r w:rsidR="007605D8">
        <w:t>must</w:t>
      </w:r>
      <w:r w:rsidRPr="00755DF1">
        <w:t xml:space="preserve"> be used.  Refer to the PCCP for details of Class A and Class B line marking machines.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>Hand spraying with the use of templates to control the pattern and shape will be allowed for transverse lines, chevrons, diagonals, pavement messages, symbols and traffic island and median kerbing.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Where two coats of paint are to be applied for separation lines on carriageways with two-way traffic, the coats </w:t>
      </w:r>
      <w:r w:rsidR="007605D8">
        <w:t>must</w:t>
      </w:r>
      <w:r w:rsidRPr="00755DF1">
        <w:t xml:space="preserve"> be applied in opposite directions.  Paint for separation lines on carriageways with one-way traffic and all edge lines </w:t>
      </w:r>
      <w:r w:rsidR="007605D8">
        <w:t>must</w:t>
      </w:r>
      <w:r w:rsidRPr="00755DF1">
        <w:t xml:space="preserve"> be applied in the direction of traffic.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Where two coats of paint are to be applied, the first coat </w:t>
      </w:r>
      <w:r w:rsidR="007605D8">
        <w:t>must</w:t>
      </w:r>
      <w:r w:rsidRPr="00755DF1">
        <w:t xml:space="preserve"> be adequately cured prior to the application of the second coat.  All paint and beads </w:t>
      </w:r>
      <w:r w:rsidR="007605D8">
        <w:t>must</w:t>
      </w:r>
      <w:r w:rsidRPr="00755DF1">
        <w:t xml:space="preserve"> be evenly applied to the markings.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 xml:space="preserve">The time and date of installation of regulatory lines </w:t>
      </w:r>
      <w:r w:rsidR="007605D8">
        <w:t>must</w:t>
      </w:r>
      <w:r w:rsidRPr="00755DF1">
        <w:t xml:space="preserve"> be recorded and the Contractor </w:t>
      </w:r>
      <w:r w:rsidR="007605D8">
        <w:t>must</w:t>
      </w:r>
      <w:r w:rsidRPr="00755DF1">
        <w:t xml:space="preserve"> forward this information within 5 working days. </w:t>
      </w:r>
    </w:p>
    <w:p w:rsidR="000E7C61" w:rsidRPr="00755DF1" w:rsidRDefault="000E7C61" w:rsidP="000E7C61">
      <w:pPr>
        <w:jc w:val="left"/>
      </w:pPr>
    </w:p>
    <w:p w:rsidR="000E7C61" w:rsidRPr="0029138C" w:rsidRDefault="000E7C61" w:rsidP="0029138C">
      <w:pPr>
        <w:numPr>
          <w:ilvl w:val="1"/>
          <w:numId w:val="29"/>
        </w:numPr>
        <w:rPr>
          <w:b/>
        </w:rPr>
      </w:pPr>
      <w:r w:rsidRPr="0029138C">
        <w:rPr>
          <w:b/>
          <w:u w:val="single"/>
        </w:rPr>
        <w:t>Longitudinal Paint Systems</w:t>
      </w:r>
    </w:p>
    <w:p w:rsidR="000E7C61" w:rsidRPr="00755DF1" w:rsidRDefault="000E7C61" w:rsidP="000E7C61"/>
    <w:p w:rsidR="000E7C61" w:rsidRPr="00755DF1" w:rsidRDefault="000E7C61" w:rsidP="000E7C61">
      <w:r w:rsidRPr="00755DF1">
        <w:t xml:space="preserve">The longitudinal paint system </w:t>
      </w:r>
      <w:r w:rsidR="007605D8">
        <w:t>must</w:t>
      </w:r>
      <w:r w:rsidRPr="00755DF1">
        <w:t xml:space="preserve"> be as described in Table 5.5:</w:t>
      </w:r>
    </w:p>
    <w:p w:rsidR="000E7C61" w:rsidRPr="00755DF1" w:rsidRDefault="000E7C61" w:rsidP="000E7C61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30"/>
        <w:gridCol w:w="2798"/>
        <w:gridCol w:w="4536"/>
      </w:tblGrid>
      <w:tr w:rsidR="000E7C61" w:rsidRPr="007B242A" w:rsidTr="007B242A">
        <w:trPr>
          <w:trHeight w:val="286"/>
        </w:trPr>
        <w:tc>
          <w:tcPr>
            <w:tcW w:w="9464" w:type="dxa"/>
            <w:gridSpan w:val="3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TABLE 5.5</w:t>
            </w:r>
          </w:p>
        </w:tc>
      </w:tr>
      <w:tr w:rsidR="000E7C61" w:rsidRPr="007B242A" w:rsidTr="007B242A">
        <w:trPr>
          <w:trHeight w:val="286"/>
        </w:trPr>
        <w:tc>
          <w:tcPr>
            <w:tcW w:w="2130" w:type="dxa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TREATMENT</w:t>
            </w:r>
          </w:p>
        </w:tc>
        <w:tc>
          <w:tcPr>
            <w:tcW w:w="2798" w:type="dxa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MATERIALS</w:t>
            </w:r>
          </w:p>
        </w:tc>
        <w:tc>
          <w:tcPr>
            <w:tcW w:w="4536" w:type="dxa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TYPICAL APPLICATION</w:t>
            </w:r>
          </w:p>
        </w:tc>
      </w:tr>
      <w:tr w:rsidR="000E7C61" w:rsidRPr="00755DF1" w:rsidTr="007B242A">
        <w:tc>
          <w:tcPr>
            <w:tcW w:w="2130" w:type="dxa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Standard</w:t>
            </w:r>
          </w:p>
        </w:tc>
        <w:tc>
          <w:tcPr>
            <w:tcW w:w="2798" w:type="dxa"/>
          </w:tcPr>
          <w:p w:rsidR="000E7C61" w:rsidRPr="00755DF1" w:rsidRDefault="000E7C61" w:rsidP="007B242A">
            <w:pPr>
              <w:spacing w:before="60" w:after="60"/>
              <w:jc w:val="left"/>
            </w:pPr>
            <w:r w:rsidRPr="00755DF1">
              <w:t>Paint and Type B high retroreflectivity drop on beads (traditionally referred to as “virgin”, “pristine” or “high refractive index” beads).</w:t>
            </w:r>
          </w:p>
        </w:tc>
        <w:tc>
          <w:tcPr>
            <w:tcW w:w="4536" w:type="dxa"/>
          </w:tcPr>
          <w:p w:rsidR="000E7C61" w:rsidRPr="00755DF1" w:rsidRDefault="000E7C61" w:rsidP="007B242A">
            <w:pPr>
              <w:spacing w:before="60" w:after="60"/>
              <w:jc w:val="left"/>
            </w:pPr>
            <w:r w:rsidRPr="00755DF1">
              <w:t>Roads where standard performance and limited wet weather reflectivity is acceptable.</w:t>
            </w:r>
          </w:p>
        </w:tc>
      </w:tr>
      <w:tr w:rsidR="000E7C61" w:rsidRPr="00755DF1" w:rsidTr="007B242A">
        <w:tc>
          <w:tcPr>
            <w:tcW w:w="2130" w:type="dxa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Large Beads</w:t>
            </w:r>
          </w:p>
        </w:tc>
        <w:tc>
          <w:tcPr>
            <w:tcW w:w="2798" w:type="dxa"/>
          </w:tcPr>
          <w:p w:rsidR="000E7C61" w:rsidRPr="00755DF1" w:rsidRDefault="000E7C61" w:rsidP="007B242A">
            <w:pPr>
              <w:spacing w:before="60" w:after="60"/>
              <w:jc w:val="left"/>
            </w:pPr>
            <w:r w:rsidRPr="00755DF1">
              <w:t>Paint and Type D-HR large beads.</w:t>
            </w:r>
          </w:p>
        </w:tc>
        <w:tc>
          <w:tcPr>
            <w:tcW w:w="4536" w:type="dxa"/>
          </w:tcPr>
          <w:p w:rsidR="000E7C61" w:rsidRPr="00755DF1" w:rsidRDefault="000E7C61" w:rsidP="007B242A">
            <w:pPr>
              <w:spacing w:before="60" w:after="60"/>
              <w:jc w:val="left"/>
            </w:pPr>
            <w:r w:rsidRPr="00755DF1">
              <w:t>High traffic volume roads where enhanced performance and wet weather retroreflectivity is required.  This treatment will typically halve maintenance requirements.</w:t>
            </w:r>
          </w:p>
        </w:tc>
      </w:tr>
      <w:tr w:rsidR="000E7C61" w:rsidRPr="00755DF1" w:rsidTr="007B242A">
        <w:tc>
          <w:tcPr>
            <w:tcW w:w="2130" w:type="dxa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Large Bead/Glass Anti Skid Mix</w:t>
            </w:r>
          </w:p>
        </w:tc>
        <w:tc>
          <w:tcPr>
            <w:tcW w:w="2798" w:type="dxa"/>
          </w:tcPr>
          <w:p w:rsidR="000E7C61" w:rsidRPr="00755DF1" w:rsidRDefault="000E7C61" w:rsidP="007B242A">
            <w:pPr>
              <w:spacing w:before="60" w:after="60"/>
              <w:jc w:val="left"/>
            </w:pPr>
            <w:r w:rsidRPr="00755DF1">
              <w:t>Paint and Type D-HR large bead/glass anti skid mix.</w:t>
            </w:r>
          </w:p>
        </w:tc>
        <w:tc>
          <w:tcPr>
            <w:tcW w:w="4536" w:type="dxa"/>
          </w:tcPr>
          <w:p w:rsidR="000E7C61" w:rsidRPr="00755DF1" w:rsidRDefault="000E7C61" w:rsidP="007B242A">
            <w:pPr>
              <w:spacing w:before="60" w:after="60"/>
              <w:jc w:val="left"/>
            </w:pPr>
            <w:r w:rsidRPr="00755DF1">
              <w:t>High traffic volume roads where enhanced performance and wet weather retroreflectivity is required and skid resistance must be provided on a smooth road surface.  This treatment will typically halve maintenance requirements.</w:t>
            </w:r>
          </w:p>
        </w:tc>
      </w:tr>
    </w:tbl>
    <w:p w:rsidR="000E7C61" w:rsidRDefault="000E7C61" w:rsidP="000E7C61"/>
    <w:p w:rsidR="00123EBF" w:rsidRPr="00755DF1" w:rsidRDefault="00123EBF" w:rsidP="000E7C61"/>
    <w:p w:rsidR="000E7C61" w:rsidRPr="00755DF1" w:rsidRDefault="000E7C61" w:rsidP="000E7C61">
      <w:pPr>
        <w:jc w:val="left"/>
      </w:pPr>
      <w:r w:rsidRPr="00755DF1">
        <w:t xml:space="preserve">Large beads and / or the Large Bead/Glass Anti Skid Mix </w:t>
      </w:r>
      <w:r w:rsidR="007605D8">
        <w:t>must</w:t>
      </w:r>
      <w:r w:rsidRPr="00755DF1">
        <w:t xml:space="preserve"> be used when specified in the </w:t>
      </w:r>
      <w:r w:rsidRPr="00755DF1">
        <w:rPr>
          <w:b/>
        </w:rPr>
        <w:t>Contract Specific Requirements</w:t>
      </w:r>
      <w:r w:rsidRPr="00755DF1">
        <w:t>.</w:t>
      </w:r>
    </w:p>
    <w:p w:rsidR="000E7C61" w:rsidRPr="00755DF1" w:rsidRDefault="000E7C61" w:rsidP="000E7C61">
      <w:pPr>
        <w:jc w:val="left"/>
      </w:pPr>
    </w:p>
    <w:p w:rsidR="000E7C61" w:rsidRPr="0029138C" w:rsidRDefault="000E7C61" w:rsidP="0029138C">
      <w:pPr>
        <w:numPr>
          <w:ilvl w:val="1"/>
          <w:numId w:val="29"/>
        </w:numPr>
        <w:rPr>
          <w:b/>
        </w:rPr>
      </w:pPr>
      <w:r w:rsidRPr="0029138C">
        <w:rPr>
          <w:b/>
          <w:u w:val="single"/>
        </w:rPr>
        <w:t>Transverse “Non-skid” Marking Systems</w:t>
      </w:r>
    </w:p>
    <w:p w:rsidR="000E7C61" w:rsidRPr="00755DF1" w:rsidRDefault="000E7C61" w:rsidP="000E7C61"/>
    <w:p w:rsidR="000E7C61" w:rsidRPr="00755DF1" w:rsidRDefault="000E7C61" w:rsidP="000E7C61">
      <w:r w:rsidRPr="00755DF1">
        <w:t xml:space="preserve">The transverse paint system </w:t>
      </w:r>
      <w:r w:rsidR="007605D8">
        <w:t>must</w:t>
      </w:r>
      <w:r w:rsidRPr="00755DF1">
        <w:t xml:space="preserve"> be as described in Table 5.6:</w:t>
      </w:r>
    </w:p>
    <w:p w:rsidR="000E7C61" w:rsidRPr="00755DF1" w:rsidRDefault="00E8694D" w:rsidP="000E7C61">
      <w: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30"/>
        <w:gridCol w:w="2798"/>
        <w:gridCol w:w="4536"/>
      </w:tblGrid>
      <w:tr w:rsidR="000E7C61" w:rsidRPr="007B242A" w:rsidTr="007B242A">
        <w:trPr>
          <w:trHeight w:val="312"/>
        </w:trPr>
        <w:tc>
          <w:tcPr>
            <w:tcW w:w="9464" w:type="dxa"/>
            <w:gridSpan w:val="3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TABLE 5.6</w:t>
            </w:r>
          </w:p>
        </w:tc>
      </w:tr>
      <w:tr w:rsidR="000E7C61" w:rsidRPr="007B242A" w:rsidTr="007B242A">
        <w:trPr>
          <w:trHeight w:val="312"/>
        </w:trPr>
        <w:tc>
          <w:tcPr>
            <w:tcW w:w="2130" w:type="dxa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TREATMENT</w:t>
            </w:r>
          </w:p>
        </w:tc>
        <w:tc>
          <w:tcPr>
            <w:tcW w:w="2798" w:type="dxa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MATERIALS</w:t>
            </w:r>
          </w:p>
        </w:tc>
        <w:tc>
          <w:tcPr>
            <w:tcW w:w="4536" w:type="dxa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TYPICAL APPLICATION</w:t>
            </w:r>
          </w:p>
        </w:tc>
      </w:tr>
      <w:tr w:rsidR="000E7C61" w:rsidRPr="00755DF1" w:rsidTr="007B242A">
        <w:tc>
          <w:tcPr>
            <w:tcW w:w="2130" w:type="dxa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Standard</w:t>
            </w:r>
          </w:p>
        </w:tc>
        <w:tc>
          <w:tcPr>
            <w:tcW w:w="2798" w:type="dxa"/>
          </w:tcPr>
          <w:p w:rsidR="000E7C61" w:rsidRPr="00755DF1" w:rsidRDefault="000E7C61" w:rsidP="007B242A">
            <w:pPr>
              <w:spacing w:before="60" w:after="60"/>
              <w:jc w:val="left"/>
            </w:pPr>
            <w:r w:rsidRPr="00755DF1">
              <w:t>Premixed paint and crushed quartz.</w:t>
            </w:r>
          </w:p>
        </w:tc>
        <w:tc>
          <w:tcPr>
            <w:tcW w:w="4536" w:type="dxa"/>
          </w:tcPr>
          <w:p w:rsidR="000E7C61" w:rsidRPr="00755DF1" w:rsidRDefault="000E7C61" w:rsidP="007B242A">
            <w:pPr>
              <w:spacing w:before="60" w:after="60"/>
              <w:jc w:val="left"/>
            </w:pPr>
            <w:r w:rsidRPr="00755DF1">
              <w:t>Roads and intersections where skid resistance is required but no retroreflectivity.</w:t>
            </w:r>
          </w:p>
        </w:tc>
      </w:tr>
      <w:tr w:rsidR="000E7C61" w:rsidRPr="00755DF1" w:rsidTr="007B242A">
        <w:tc>
          <w:tcPr>
            <w:tcW w:w="2130" w:type="dxa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High performance</w:t>
            </w:r>
            <w:r w:rsidRPr="007B242A">
              <w:rPr>
                <w:b/>
              </w:rPr>
              <w:br/>
              <w:t>Multi Component</w:t>
            </w:r>
          </w:p>
        </w:tc>
        <w:tc>
          <w:tcPr>
            <w:tcW w:w="2798" w:type="dxa"/>
          </w:tcPr>
          <w:p w:rsidR="000E7C61" w:rsidRPr="00755DF1" w:rsidRDefault="000E7C61" w:rsidP="007B242A">
            <w:pPr>
              <w:spacing w:before="60" w:after="60"/>
              <w:jc w:val="left"/>
            </w:pPr>
            <w:r w:rsidRPr="00755DF1">
              <w:t>2 part cold applied material, aggregate and Type D-HR large beads with an adhesion coating.</w:t>
            </w:r>
          </w:p>
        </w:tc>
        <w:tc>
          <w:tcPr>
            <w:tcW w:w="4536" w:type="dxa"/>
          </w:tcPr>
          <w:p w:rsidR="000E7C61" w:rsidRPr="00755DF1" w:rsidRDefault="000E7C61" w:rsidP="007B242A">
            <w:pPr>
              <w:spacing w:before="60" w:after="60"/>
              <w:jc w:val="left"/>
            </w:pPr>
            <w:r w:rsidRPr="00755DF1">
              <w:t>High traffic volume roads and intersections with a large number of heavy vehicles where enhanced performance and dry and wet weather retroreflectivity is required.  This treatment will typically have a 5 year life span.</w:t>
            </w:r>
          </w:p>
        </w:tc>
      </w:tr>
      <w:tr w:rsidR="000E7C61" w:rsidRPr="0031648A" w:rsidTr="007B242A">
        <w:trPr>
          <w:trHeight w:val="932"/>
        </w:trPr>
        <w:tc>
          <w:tcPr>
            <w:tcW w:w="2130" w:type="dxa"/>
          </w:tcPr>
          <w:p w:rsidR="000E7C61" w:rsidRPr="007B242A" w:rsidRDefault="000E7C61" w:rsidP="007B242A">
            <w:pPr>
              <w:spacing w:before="60" w:after="60"/>
              <w:jc w:val="center"/>
              <w:rPr>
                <w:b/>
              </w:rPr>
            </w:pPr>
            <w:r w:rsidRPr="007B242A">
              <w:rPr>
                <w:b/>
              </w:rPr>
              <w:t>High Performance</w:t>
            </w:r>
            <w:r w:rsidRPr="007B242A">
              <w:rPr>
                <w:b/>
              </w:rPr>
              <w:br/>
              <w:t>Pre-Form Thermoplastic</w:t>
            </w:r>
          </w:p>
        </w:tc>
        <w:tc>
          <w:tcPr>
            <w:tcW w:w="2798" w:type="dxa"/>
          </w:tcPr>
          <w:p w:rsidR="000E7C61" w:rsidRPr="0031648A" w:rsidRDefault="000E7C61" w:rsidP="007B242A">
            <w:pPr>
              <w:spacing w:before="60" w:after="60"/>
              <w:jc w:val="left"/>
            </w:pPr>
            <w:r w:rsidRPr="0031648A">
              <w:t>Thermoplastic material and anti-skid mixture containing Type C Intermix glass beads and crushed glass.</w:t>
            </w:r>
          </w:p>
        </w:tc>
        <w:tc>
          <w:tcPr>
            <w:tcW w:w="4536" w:type="dxa"/>
          </w:tcPr>
          <w:p w:rsidR="000E7C61" w:rsidRPr="0031648A" w:rsidRDefault="000E7C61" w:rsidP="007B242A">
            <w:pPr>
              <w:spacing w:before="60" w:after="60"/>
              <w:jc w:val="left"/>
            </w:pPr>
            <w:r w:rsidRPr="0031648A">
              <w:t>High traffic volume roads and intersections where enhanced performance and retroreflectivity is required.  This treatment will typically have a 5 year life span.</w:t>
            </w:r>
          </w:p>
        </w:tc>
      </w:tr>
    </w:tbl>
    <w:p w:rsidR="0029138C" w:rsidRDefault="0029138C" w:rsidP="000E7C61"/>
    <w:p w:rsidR="00FC2FB4" w:rsidRPr="0031648A" w:rsidRDefault="00FC2FB4" w:rsidP="000E7C61"/>
    <w:p w:rsidR="000E7C61" w:rsidRPr="0031648A" w:rsidRDefault="000E7C61" w:rsidP="000E7C61">
      <w:r w:rsidRPr="0031648A">
        <w:t xml:space="preserve">High performance markings </w:t>
      </w:r>
      <w:r w:rsidR="007605D8">
        <w:t>must</w:t>
      </w:r>
      <w:r w:rsidRPr="0031648A">
        <w:t xml:space="preserve"> be used when specified in the </w:t>
      </w:r>
      <w:r w:rsidRPr="0031648A">
        <w:rPr>
          <w:b/>
        </w:rPr>
        <w:t>Contract Specific Requirements</w:t>
      </w:r>
      <w:r w:rsidRPr="0031648A">
        <w:t>.</w:t>
      </w:r>
    </w:p>
    <w:p w:rsidR="000E7C61" w:rsidRPr="0031648A" w:rsidRDefault="000E7C61" w:rsidP="000E7C61">
      <w:pPr>
        <w:jc w:val="left"/>
      </w:pPr>
    </w:p>
    <w:p w:rsidR="000E7C61" w:rsidRPr="0029138C" w:rsidRDefault="00B77092" w:rsidP="0029138C">
      <w:pPr>
        <w:numPr>
          <w:ilvl w:val="1"/>
          <w:numId w:val="29"/>
        </w:numPr>
        <w:rPr>
          <w:b/>
          <w:bCs/>
        </w:rPr>
      </w:pPr>
      <w:r w:rsidRPr="0029138C">
        <w:rPr>
          <w:b/>
          <w:u w:val="single"/>
        </w:rPr>
        <w:t>Longitudinal Paint Application  (PCCP Class 20-1 and 21-1)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jc w:val="left"/>
      </w:pPr>
      <w:r w:rsidRPr="0031648A">
        <w:rPr>
          <w:bCs/>
          <w:u w:val="single"/>
        </w:rPr>
        <w:t>New Work</w:t>
      </w:r>
    </w:p>
    <w:p w:rsidR="000E7C61" w:rsidRPr="0031648A" w:rsidRDefault="000E7C61" w:rsidP="000E7C61">
      <w:pPr>
        <w:numPr>
          <w:ilvl w:val="0"/>
          <w:numId w:val="23"/>
        </w:numPr>
        <w:spacing w:before="120"/>
        <w:jc w:val="left"/>
        <w:rPr>
          <w:u w:val="single"/>
        </w:rPr>
      </w:pPr>
      <w:r w:rsidRPr="0031648A">
        <w:rPr>
          <w:u w:val="single"/>
        </w:rPr>
        <w:t xml:space="preserve">Standard Treatment </w:t>
      </w:r>
    </w:p>
    <w:p w:rsidR="000E7C61" w:rsidRPr="0031648A" w:rsidRDefault="000E7C61" w:rsidP="000E7C61">
      <w:pPr>
        <w:spacing w:before="120"/>
        <w:ind w:left="795"/>
        <w:jc w:val="left"/>
      </w:pPr>
      <w:r w:rsidRPr="0031648A">
        <w:t xml:space="preserve">Two coats of paint </w:t>
      </w:r>
      <w:r w:rsidR="007605D8">
        <w:t>must</w:t>
      </w:r>
      <w:r w:rsidRPr="0031648A">
        <w:t xml:space="preserve"> be applied during the same site visit</w:t>
      </w:r>
    </w:p>
    <w:p w:rsidR="000E7C61" w:rsidRPr="0031648A" w:rsidRDefault="000E7C61" w:rsidP="000E7C61">
      <w:pPr>
        <w:numPr>
          <w:ilvl w:val="0"/>
          <w:numId w:val="23"/>
        </w:numPr>
        <w:spacing w:before="120"/>
        <w:jc w:val="left"/>
        <w:rPr>
          <w:u w:val="single"/>
        </w:rPr>
      </w:pPr>
      <w:r w:rsidRPr="0031648A">
        <w:rPr>
          <w:u w:val="single"/>
        </w:rPr>
        <w:t>Large Beads and Large Bead/Glass Anti Skid Treatment</w:t>
      </w:r>
    </w:p>
    <w:p w:rsidR="000E7C61" w:rsidRPr="0031648A" w:rsidRDefault="000E7C61" w:rsidP="0029138C">
      <w:pPr>
        <w:spacing w:before="120"/>
        <w:ind w:left="794"/>
        <w:jc w:val="left"/>
      </w:pPr>
      <w:r w:rsidRPr="0031648A">
        <w:t xml:space="preserve">Two coats of paint </w:t>
      </w:r>
      <w:r w:rsidR="007605D8">
        <w:t>must</w:t>
      </w:r>
      <w:r w:rsidRPr="0031648A">
        <w:t xml:space="preserve"> be applied.  The first coat </w:t>
      </w:r>
      <w:r w:rsidR="007605D8">
        <w:t>must</w:t>
      </w:r>
      <w:r w:rsidRPr="0031648A">
        <w:t xml:space="preserve"> be the Standard Treatment and the second coat the Large Bead Treatment.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Two coats of paint </w:t>
      </w:r>
      <w:r w:rsidR="007605D8">
        <w:t>must</w:t>
      </w:r>
      <w:r w:rsidRPr="0031648A">
        <w:t xml:space="preserve"> be applied together with a concurrent application of beads.  The first coat </w:t>
      </w:r>
      <w:r w:rsidR="007605D8">
        <w:t>must</w:t>
      </w:r>
      <w:r w:rsidRPr="0031648A">
        <w:t xml:space="preserve"> be fully cured prior to the application of the second coat. The timing of the application of paint </w:t>
      </w:r>
      <w:r w:rsidR="007605D8">
        <w:t>must</w:t>
      </w:r>
      <w:r w:rsidRPr="0031648A">
        <w:t xml:space="preserve"> comply with any requirements specified in the</w:t>
      </w:r>
      <w:r w:rsidRPr="0031648A">
        <w:rPr>
          <w:b/>
        </w:rPr>
        <w:t xml:space="preserve"> Contract Specific Requirements</w:t>
      </w:r>
      <w:r w:rsidRPr="0031648A">
        <w:t>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Until installation of the separation line, the Contractor </w:t>
      </w:r>
      <w:r w:rsidR="007605D8">
        <w:t>must</w:t>
      </w:r>
      <w:r w:rsidRPr="0031648A">
        <w:t xml:space="preserve"> maintain appropriate signing in accordance with AS 1742 (e.g. T3</w:t>
      </w:r>
      <w:r w:rsidRPr="0031648A">
        <w:noBreakHyphen/>
        <w:t>12 "No lines do not overtake unless safe") and Part </w:t>
      </w:r>
      <w:r w:rsidR="00F22E80">
        <w:t>CH</w:t>
      </w:r>
      <w:r w:rsidRPr="0031648A">
        <w:t>20 "Provision for Traffic".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>(b)</w:t>
      </w:r>
      <w:r w:rsidRPr="0031648A">
        <w:tab/>
      </w:r>
      <w:r w:rsidRPr="0031648A">
        <w:rPr>
          <w:u w:val="single"/>
        </w:rPr>
        <w:t>Maintenance Repainting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One coat of the specified paint treatment </w:t>
      </w:r>
      <w:r w:rsidR="007605D8">
        <w:t>must</w:t>
      </w:r>
      <w:r w:rsidRPr="0031648A">
        <w:t xml:space="preserve"> be applied together with a concurrent application of glass beads.</w:t>
      </w:r>
    </w:p>
    <w:p w:rsidR="000E7C61" w:rsidRPr="00123EBF" w:rsidRDefault="000E7C61" w:rsidP="000E7C61">
      <w:pPr>
        <w:jc w:val="left"/>
      </w:pPr>
    </w:p>
    <w:p w:rsidR="000E7C61" w:rsidRPr="0031648A" w:rsidRDefault="000E7C61" w:rsidP="0029138C">
      <w:pPr>
        <w:numPr>
          <w:ilvl w:val="1"/>
          <w:numId w:val="29"/>
        </w:numPr>
        <w:rPr>
          <w:b/>
          <w:u w:val="single"/>
        </w:rPr>
      </w:pPr>
      <w:r w:rsidRPr="0031648A">
        <w:rPr>
          <w:b/>
          <w:u w:val="single"/>
        </w:rPr>
        <w:t>Transverse "Non-skid" Paint Application</w:t>
      </w:r>
      <w:r w:rsidR="00B77092" w:rsidRPr="0031648A">
        <w:rPr>
          <w:b/>
          <w:u w:val="single"/>
        </w:rPr>
        <w:t xml:space="preserve">  (PCCP Class 24-4)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  <w:rPr>
          <w:u w:val="single"/>
        </w:rPr>
      </w:pPr>
      <w:r w:rsidRPr="0031648A">
        <w:t>(a)</w:t>
      </w:r>
      <w:r w:rsidRPr="0031648A">
        <w:tab/>
      </w:r>
      <w:r w:rsidRPr="0031648A">
        <w:rPr>
          <w:u w:val="single"/>
        </w:rPr>
        <w:t>New Work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Two coats of pre-mixed paint and crushed quartz </w:t>
      </w:r>
      <w:r w:rsidR="007605D8">
        <w:t>must</w:t>
      </w:r>
      <w:r w:rsidRPr="0031648A">
        <w:t xml:space="preserve"> be applied during the same site visit.  The first coat </w:t>
      </w:r>
      <w:r w:rsidR="007605D8">
        <w:t>must</w:t>
      </w:r>
      <w:r w:rsidRPr="0031648A">
        <w:t xml:space="preserve"> be fully cured prior to the application of the second coat.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  <w:rPr>
          <w:u w:val="single"/>
        </w:rPr>
      </w:pPr>
      <w:r w:rsidRPr="0031648A">
        <w:t>(b)</w:t>
      </w:r>
      <w:r w:rsidRPr="0031648A">
        <w:tab/>
      </w:r>
      <w:r w:rsidRPr="0031648A">
        <w:rPr>
          <w:u w:val="single"/>
        </w:rPr>
        <w:t>Maintenance Repainting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rPr>
          <w:bCs/>
        </w:rPr>
        <w:t xml:space="preserve">One coat </w:t>
      </w:r>
      <w:r w:rsidRPr="0031648A">
        <w:t xml:space="preserve">of pre-mixed paint and crushed quartz </w:t>
      </w:r>
      <w:r w:rsidR="007605D8">
        <w:t>must</w:t>
      </w:r>
      <w:r w:rsidRPr="0031648A">
        <w:t xml:space="preserve"> be applied.</w:t>
      </w:r>
    </w:p>
    <w:p w:rsidR="000E7C61" w:rsidRPr="00123EBF" w:rsidRDefault="000E7C61" w:rsidP="000E7C61">
      <w:pPr>
        <w:jc w:val="left"/>
      </w:pPr>
    </w:p>
    <w:p w:rsidR="000E7C61" w:rsidRPr="0031648A" w:rsidRDefault="000E7C61" w:rsidP="0029138C">
      <w:pPr>
        <w:numPr>
          <w:ilvl w:val="1"/>
          <w:numId w:val="29"/>
        </w:numPr>
        <w:rPr>
          <w:b/>
          <w:u w:val="single"/>
        </w:rPr>
      </w:pPr>
      <w:r w:rsidRPr="0031648A">
        <w:rPr>
          <w:b/>
          <w:u w:val="single"/>
        </w:rPr>
        <w:t>Transverse High Performance Pavement Marking Application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  <w:rPr>
          <w:u w:val="single"/>
        </w:rPr>
      </w:pPr>
      <w:r w:rsidRPr="0031648A">
        <w:t>(a)</w:t>
      </w:r>
      <w:r w:rsidRPr="0031648A">
        <w:tab/>
      </w:r>
      <w:r w:rsidRPr="0031648A">
        <w:rPr>
          <w:u w:val="single"/>
        </w:rPr>
        <w:t>Multi Component</w:t>
      </w:r>
      <w:r w:rsidR="00B77092" w:rsidRPr="0031648A">
        <w:rPr>
          <w:u w:val="single"/>
        </w:rPr>
        <w:t xml:space="preserve">  (PCCP Class 24-3)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>Consists of a 2 part cold applied pavement marking material applied according to the manufacturer’s recommendations and comprising:</w:t>
      </w:r>
    </w:p>
    <w:p w:rsidR="000E7C61" w:rsidRPr="0031648A" w:rsidRDefault="000E7C61" w:rsidP="000E7C61">
      <w:pPr>
        <w:numPr>
          <w:ilvl w:val="0"/>
          <w:numId w:val="28"/>
        </w:numPr>
        <w:spacing w:before="120"/>
        <w:jc w:val="left"/>
      </w:pPr>
      <w:r w:rsidRPr="0031648A">
        <w:t>A base coat</w:t>
      </w:r>
    </w:p>
    <w:p w:rsidR="000E7C61" w:rsidRPr="0031648A" w:rsidRDefault="000E7C61" w:rsidP="000E7C61">
      <w:pPr>
        <w:numPr>
          <w:ilvl w:val="0"/>
          <w:numId w:val="28"/>
        </w:numPr>
        <w:spacing w:before="120"/>
        <w:jc w:val="left"/>
      </w:pPr>
      <w:r w:rsidRPr="0031648A">
        <w:t>Aggregate</w:t>
      </w:r>
    </w:p>
    <w:p w:rsidR="000E7C61" w:rsidRPr="0031648A" w:rsidRDefault="000E7C61" w:rsidP="000E7C61">
      <w:pPr>
        <w:numPr>
          <w:ilvl w:val="0"/>
          <w:numId w:val="28"/>
        </w:numPr>
        <w:spacing w:before="120"/>
        <w:jc w:val="left"/>
      </w:pPr>
      <w:r w:rsidRPr="0031648A">
        <w:t>A top coat to encapsulate the aggregate</w:t>
      </w:r>
    </w:p>
    <w:p w:rsidR="000E7C61" w:rsidRPr="0031648A" w:rsidRDefault="000E7C61" w:rsidP="000E7C61">
      <w:pPr>
        <w:numPr>
          <w:ilvl w:val="0"/>
          <w:numId w:val="28"/>
        </w:numPr>
        <w:spacing w:before="120"/>
        <w:jc w:val="left"/>
      </w:pPr>
      <w:r w:rsidRPr="0031648A">
        <w:t>Type D-HR beads with an adhesion coating.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The aggregate and beads </w:t>
      </w:r>
      <w:r w:rsidR="007605D8">
        <w:t>must</w:t>
      </w:r>
      <w:r w:rsidRPr="0031648A">
        <w:t xml:space="preserve"> be applied while the material is fluid to ensure embedment and </w:t>
      </w:r>
      <w:r w:rsidR="007605D8">
        <w:t>must</w:t>
      </w:r>
      <w:r w:rsidRPr="0031648A">
        <w:t xml:space="preserve"> be evenly distributed to provide a complete coverage.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  <w:rPr>
          <w:u w:val="single"/>
        </w:rPr>
      </w:pPr>
      <w:r w:rsidRPr="0031648A">
        <w:t>(b)</w:t>
      </w:r>
      <w:r w:rsidRPr="0031648A">
        <w:tab/>
      </w:r>
      <w:r w:rsidRPr="0031648A">
        <w:rPr>
          <w:u w:val="single"/>
        </w:rPr>
        <w:t>Pre-Form Thermoplastic Pavement Marking</w:t>
      </w:r>
      <w:r w:rsidR="00B77092" w:rsidRPr="0031648A">
        <w:rPr>
          <w:u w:val="single"/>
        </w:rPr>
        <w:t xml:space="preserve">  (PCCP Class 24-2)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Consists of pre-formed thermoplastic pavement marking material applied according to the manufacturer’s recommendations.  An anti-skid mixture containing Type C Intermix glass beads and crushed glass </w:t>
      </w:r>
      <w:r w:rsidR="007605D8">
        <w:t>must</w:t>
      </w:r>
      <w:r w:rsidRPr="0031648A">
        <w:t xml:space="preserve"> be applied immediately after heating while the material is still liquid.  The mixture </w:t>
      </w:r>
      <w:r w:rsidR="007605D8">
        <w:t>must</w:t>
      </w:r>
      <w:r w:rsidRPr="0031648A">
        <w:t xml:space="preserve"> be evenly distributed to provide a complete coverage of the surface of the thermoplastic.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29138C">
      <w:pPr>
        <w:numPr>
          <w:ilvl w:val="1"/>
          <w:numId w:val="29"/>
        </w:numPr>
        <w:rPr>
          <w:b/>
          <w:u w:val="single"/>
        </w:rPr>
      </w:pPr>
      <w:r w:rsidRPr="0031648A">
        <w:rPr>
          <w:b/>
          <w:u w:val="single"/>
        </w:rPr>
        <w:t>Coloured Pavement Surfacings Application</w:t>
      </w:r>
      <w:r w:rsidR="00B77092" w:rsidRPr="0031648A">
        <w:rPr>
          <w:b/>
          <w:u w:val="single"/>
        </w:rPr>
        <w:t xml:space="preserve"> (PCCP Class 26-2)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>Coloured pavement surfacings for use on pavement designated as bus or cycle lanes.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  <w:rPr>
          <w:u w:val="single"/>
        </w:rPr>
      </w:pPr>
      <w:r w:rsidRPr="0031648A">
        <w:t>(a)</w:t>
      </w:r>
      <w:r w:rsidRPr="0031648A">
        <w:tab/>
      </w:r>
      <w:r w:rsidRPr="0031648A">
        <w:rPr>
          <w:u w:val="single"/>
        </w:rPr>
        <w:t>Multi Component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>Consists of a suitably pigmented 2 part cold applied pavement marking material applied according to the manufacturer’s recommendations and comprising:</w:t>
      </w:r>
    </w:p>
    <w:p w:rsidR="000E7C61" w:rsidRPr="0031648A" w:rsidRDefault="000E7C61" w:rsidP="000E7C61">
      <w:pPr>
        <w:numPr>
          <w:ilvl w:val="0"/>
          <w:numId w:val="24"/>
        </w:numPr>
        <w:spacing w:before="120"/>
        <w:jc w:val="left"/>
      </w:pPr>
      <w:r w:rsidRPr="0031648A">
        <w:t>A base coat</w:t>
      </w:r>
    </w:p>
    <w:p w:rsidR="000E7C61" w:rsidRPr="0031648A" w:rsidRDefault="000E7C61" w:rsidP="000E7C61">
      <w:pPr>
        <w:numPr>
          <w:ilvl w:val="0"/>
          <w:numId w:val="24"/>
        </w:numPr>
        <w:spacing w:before="120"/>
        <w:jc w:val="left"/>
      </w:pPr>
      <w:r w:rsidRPr="0031648A">
        <w:t>Aggregate</w:t>
      </w:r>
    </w:p>
    <w:p w:rsidR="000E7C61" w:rsidRPr="0031648A" w:rsidRDefault="000E7C61" w:rsidP="000E7C61">
      <w:pPr>
        <w:numPr>
          <w:ilvl w:val="0"/>
          <w:numId w:val="24"/>
        </w:numPr>
        <w:spacing w:before="120"/>
        <w:jc w:val="left"/>
      </w:pPr>
      <w:r w:rsidRPr="0031648A">
        <w:t>A top coat to encapsulate the aggregate</w:t>
      </w:r>
    </w:p>
    <w:p w:rsidR="0029138C" w:rsidRDefault="0029138C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The aggregate </w:t>
      </w:r>
      <w:r w:rsidR="007605D8">
        <w:t>must</w:t>
      </w:r>
      <w:r w:rsidRPr="0031648A">
        <w:t xml:space="preserve"> be applied while the material is fluid to ensure embedment and </w:t>
      </w:r>
      <w:r w:rsidR="007605D8">
        <w:t>must</w:t>
      </w:r>
      <w:r w:rsidRPr="0031648A">
        <w:t xml:space="preserve"> be evenly distributed to provide a complete coverage.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  <w:rPr>
          <w:u w:val="single"/>
        </w:rPr>
      </w:pPr>
      <w:r w:rsidRPr="0031648A">
        <w:t>(b)</w:t>
      </w:r>
      <w:r w:rsidRPr="0031648A">
        <w:tab/>
      </w:r>
      <w:r w:rsidRPr="0031648A">
        <w:rPr>
          <w:u w:val="single"/>
        </w:rPr>
        <w:t>Pigmented Binder System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Consists of a 2 or more component thermosetting resin suitably pigmented to provide the necessary depth of specified colour in the finished surface coating and the application of coloured aggregate. The aggregate </w:t>
      </w:r>
      <w:r w:rsidR="007605D8">
        <w:t>must</w:t>
      </w:r>
      <w:r w:rsidRPr="0031648A">
        <w:t xml:space="preserve"> be applied while the material is fluid to ensure embedment and </w:t>
      </w:r>
      <w:r w:rsidR="007605D8">
        <w:t>must</w:t>
      </w:r>
      <w:r w:rsidRPr="0031648A">
        <w:t xml:space="preserve"> be evenly distributed to provide a complete coverage of the treated area.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29138C">
      <w:pPr>
        <w:numPr>
          <w:ilvl w:val="1"/>
          <w:numId w:val="29"/>
        </w:numPr>
        <w:rPr>
          <w:b/>
          <w:u w:val="single"/>
        </w:rPr>
      </w:pPr>
      <w:r w:rsidRPr="0031648A">
        <w:rPr>
          <w:b/>
          <w:u w:val="single"/>
        </w:rPr>
        <w:t>Kerb Treatment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  <w:rPr>
          <w:u w:val="single"/>
        </w:rPr>
      </w:pPr>
      <w:r w:rsidRPr="0031648A">
        <w:t>(a)</w:t>
      </w:r>
      <w:r w:rsidRPr="0031648A">
        <w:tab/>
      </w:r>
      <w:r w:rsidRPr="0031648A">
        <w:rPr>
          <w:u w:val="single"/>
        </w:rPr>
        <w:t>New Work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The concrete surface of the kerb </w:t>
      </w:r>
      <w:r w:rsidR="007605D8">
        <w:t>must</w:t>
      </w:r>
      <w:r w:rsidRPr="0031648A">
        <w:t xml:space="preserve"> be dry and adequately cured prior the application of paint, and any curing agents used </w:t>
      </w:r>
      <w:r w:rsidR="007605D8">
        <w:t>must</w:t>
      </w:r>
      <w:r w:rsidRPr="0031648A">
        <w:t xml:space="preserve"> be removed by an appropriate means.  The paint </w:t>
      </w:r>
      <w:r w:rsidR="007605D8">
        <w:t>must</w:t>
      </w:r>
      <w:r w:rsidRPr="0031648A">
        <w:t xml:space="preserve"> be applied in one or more coats to achieve the specified minimum dry thickness.  Glass beads </w:t>
      </w:r>
      <w:r w:rsidR="007605D8">
        <w:t>must</w:t>
      </w:r>
      <w:r w:rsidRPr="0031648A">
        <w:t xml:space="preserve"> be applied to the final coat immediately following the application of paint to ensure embedment and retention.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>(b)</w:t>
      </w:r>
      <w:r w:rsidRPr="0031648A">
        <w:tab/>
      </w:r>
      <w:r w:rsidRPr="0031648A">
        <w:rPr>
          <w:u w:val="single"/>
        </w:rPr>
        <w:t>Maintenance Repainting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The Contractor </w:t>
      </w:r>
      <w:r w:rsidR="007605D8">
        <w:t>must</w:t>
      </w:r>
      <w:r w:rsidRPr="0031648A">
        <w:t xml:space="preserve"> remove and dispose of any lifting or flaking paint coatings, rubbish, grass and vegetation to achieve a sound surface prior the application of paint.  Repainting </w:t>
      </w:r>
      <w:r w:rsidR="007605D8">
        <w:t>must</w:t>
      </w:r>
      <w:r w:rsidRPr="0031648A">
        <w:t xml:space="preserve"> consist of a single application of paint to achieve the specified minimum dry film thickness.  Glass beads </w:t>
      </w:r>
      <w:r w:rsidR="007605D8">
        <w:t>must</w:t>
      </w:r>
      <w:r w:rsidRPr="0031648A">
        <w:t xml:space="preserve"> be applied to immediately following the application of paint to ensure embedment and retention.  The Contractor </w:t>
      </w:r>
      <w:r w:rsidR="007605D8">
        <w:t>must</w:t>
      </w:r>
      <w:r w:rsidRPr="0031648A">
        <w:t xml:space="preserve"> ensure that "over-spray" does not cause paint contamination to adjacent surfaces.</w:t>
      </w:r>
    </w:p>
    <w:p w:rsidR="000E7C61" w:rsidRPr="00FB0653" w:rsidRDefault="000E7C61" w:rsidP="000E7C61">
      <w:pPr>
        <w:jc w:val="left"/>
      </w:pPr>
    </w:p>
    <w:p w:rsidR="000E7C61" w:rsidRPr="0031648A" w:rsidRDefault="000E7C61" w:rsidP="0029138C">
      <w:pPr>
        <w:numPr>
          <w:ilvl w:val="1"/>
          <w:numId w:val="29"/>
        </w:numPr>
        <w:rPr>
          <w:b/>
        </w:rPr>
      </w:pPr>
      <w:r w:rsidRPr="0031648A">
        <w:rPr>
          <w:b/>
          <w:u w:val="single"/>
        </w:rPr>
        <w:t>Glass Bead and Glass Bead/Anti Skid Application</w:t>
      </w:r>
    </w:p>
    <w:p w:rsidR="000E7C61" w:rsidRPr="0031648A" w:rsidRDefault="000E7C61" w:rsidP="000E7C61">
      <w:pPr>
        <w:jc w:val="left"/>
      </w:pPr>
    </w:p>
    <w:p w:rsidR="000E7C61" w:rsidRDefault="000E7C61" w:rsidP="000E7C61">
      <w:pPr>
        <w:jc w:val="left"/>
      </w:pPr>
      <w:r w:rsidRPr="0031648A">
        <w:t xml:space="preserve">All beads and bead/anti skid mix </w:t>
      </w:r>
      <w:r w:rsidR="007605D8">
        <w:t>must</w:t>
      </w:r>
      <w:r w:rsidRPr="0031648A">
        <w:t xml:space="preserve"> be applied using a method that ensures uniform cover and retention to the surface of the marking, and minimal wastage of material.  The Contractor </w:t>
      </w:r>
      <w:r w:rsidR="007605D8">
        <w:t>must</w:t>
      </w:r>
      <w:r w:rsidRPr="0031648A">
        <w:t xml:space="preserve"> ensure excessive application of material, which may present a hazard for road users, does not occur.  Glass beads and glass bead/anti skid mix </w:t>
      </w:r>
      <w:r w:rsidR="007605D8">
        <w:t>must</w:t>
      </w:r>
      <w:r w:rsidRPr="0031648A">
        <w:t xml:space="preserve"> be applied immediately following application of pavement marking material to ensure embedment and retention.</w:t>
      </w:r>
    </w:p>
    <w:p w:rsidR="006C1501" w:rsidRPr="0031648A" w:rsidRDefault="006C1501" w:rsidP="000E7C61">
      <w:pPr>
        <w:jc w:val="left"/>
      </w:pPr>
    </w:p>
    <w:p w:rsidR="000E7C61" w:rsidRPr="0031648A" w:rsidRDefault="000E7C61" w:rsidP="00FB0653">
      <w:pPr>
        <w:keepNext/>
        <w:numPr>
          <w:ilvl w:val="1"/>
          <w:numId w:val="29"/>
        </w:numPr>
        <w:rPr>
          <w:b/>
          <w:bCs/>
        </w:rPr>
      </w:pPr>
      <w:r w:rsidRPr="0031648A">
        <w:rPr>
          <w:b/>
          <w:bCs/>
          <w:u w:val="single"/>
        </w:rPr>
        <w:t xml:space="preserve">Pavement </w:t>
      </w:r>
      <w:r w:rsidRPr="0029138C">
        <w:rPr>
          <w:b/>
          <w:u w:val="single"/>
        </w:rPr>
        <w:t>Marking</w:t>
      </w:r>
      <w:r w:rsidRPr="0031648A">
        <w:rPr>
          <w:b/>
          <w:bCs/>
          <w:u w:val="single"/>
        </w:rPr>
        <w:t xml:space="preserve"> Application Rates</w:t>
      </w:r>
    </w:p>
    <w:p w:rsidR="000E7C61" w:rsidRPr="0031648A" w:rsidRDefault="000E7C61" w:rsidP="00FB0653">
      <w:pPr>
        <w:keepNext/>
        <w:jc w:val="left"/>
      </w:pPr>
    </w:p>
    <w:p w:rsidR="000E7C61" w:rsidRPr="0031648A" w:rsidRDefault="000E7C61" w:rsidP="000E7C61">
      <w:pPr>
        <w:jc w:val="left"/>
        <w:rPr>
          <w:bCs/>
        </w:rPr>
      </w:pPr>
      <w:r w:rsidRPr="0031648A">
        <w:t xml:space="preserve">Pavement marking and additives </w:t>
      </w:r>
      <w:r w:rsidR="007605D8">
        <w:t>must</w:t>
      </w:r>
      <w:r w:rsidRPr="0031648A">
        <w:t xml:space="preserve"> be applied in accordance with Table 5.13 "Pavement Marking Application".</w:t>
      </w:r>
    </w:p>
    <w:p w:rsidR="000E7C61" w:rsidRPr="0031648A" w:rsidRDefault="000E7C61" w:rsidP="000E7C61">
      <w:pPr>
        <w:jc w:val="left"/>
        <w:rPr>
          <w:bCs/>
        </w:rPr>
      </w:pPr>
    </w:p>
    <w:p w:rsidR="000E7C61" w:rsidRPr="0031648A" w:rsidRDefault="000E7C61" w:rsidP="000E7C61">
      <w:pPr>
        <w:jc w:val="left"/>
        <w:rPr>
          <w:bCs/>
        </w:rPr>
      </w:pPr>
      <w:r w:rsidRPr="0031648A">
        <w:rPr>
          <w:bCs/>
        </w:rPr>
        <w:t xml:space="preserve">Written verification of all application rates </w:t>
      </w:r>
      <w:r w:rsidR="007605D8">
        <w:rPr>
          <w:bCs/>
        </w:rPr>
        <w:t>must</w:t>
      </w:r>
      <w:r w:rsidRPr="0031648A">
        <w:rPr>
          <w:bCs/>
        </w:rPr>
        <w:t xml:space="preserve"> be provided, vide Clause 12 "Verification Requirements and Records".</w:t>
      </w:r>
    </w:p>
    <w:p w:rsidR="000E7C61" w:rsidRPr="0031648A" w:rsidRDefault="000E7C61" w:rsidP="000E7C61">
      <w:pPr>
        <w:jc w:val="left"/>
        <w:rPr>
          <w:bCs/>
        </w:rPr>
      </w:pPr>
    </w:p>
    <w:tbl>
      <w:tblPr>
        <w:tblW w:w="93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417"/>
        <w:gridCol w:w="1134"/>
        <w:gridCol w:w="1843"/>
        <w:gridCol w:w="1559"/>
        <w:gridCol w:w="1418"/>
      </w:tblGrid>
      <w:tr w:rsidR="000E7C61" w:rsidRPr="0031648A" w:rsidTr="00A517C9">
        <w:trPr>
          <w:cantSplit/>
          <w:trHeight w:val="20"/>
          <w:tblHeader/>
        </w:trPr>
        <w:tc>
          <w:tcPr>
            <w:tcW w:w="9371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b/>
                <w:bCs/>
              </w:rPr>
            </w:pPr>
            <w:r w:rsidRPr="0031648A">
              <w:rPr>
                <w:bCs/>
              </w:rPr>
              <w:br w:type="page"/>
            </w:r>
            <w:r w:rsidRPr="0031648A">
              <w:rPr>
                <w:b/>
                <w:bCs/>
              </w:rPr>
              <w:t>TABLE 5.13</w:t>
            </w:r>
            <w:r w:rsidRPr="0031648A">
              <w:rPr>
                <w:b/>
                <w:bCs/>
              </w:rPr>
              <w:tab/>
              <w:t xml:space="preserve"> PAVEMENT MARKING APPLICATION</w:t>
            </w:r>
          </w:p>
        </w:tc>
      </w:tr>
      <w:tr w:rsidR="000E7C61" w:rsidRPr="0031648A" w:rsidTr="00A517C9">
        <w:trPr>
          <w:cantSplit/>
          <w:trHeight w:val="20"/>
          <w:tblHeader/>
        </w:trPr>
        <w:tc>
          <w:tcPr>
            <w:tcW w:w="200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31648A">
              <w:rPr>
                <w:b/>
                <w:bCs/>
              </w:rPr>
              <w:t>ITEM TO BE TREATED</w:t>
            </w:r>
          </w:p>
        </w:tc>
        <w:tc>
          <w:tcPr>
            <w:tcW w:w="439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31648A">
              <w:rPr>
                <w:b/>
                <w:bCs/>
              </w:rPr>
              <w:t>PAINT</w:t>
            </w:r>
          </w:p>
        </w:tc>
        <w:tc>
          <w:tcPr>
            <w:tcW w:w="297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31648A">
              <w:rPr>
                <w:b/>
                <w:bCs/>
              </w:rPr>
              <w:t>ADDITIVE</w:t>
            </w:r>
          </w:p>
        </w:tc>
      </w:tr>
      <w:tr w:rsidR="000E7C61" w:rsidRPr="0031648A" w:rsidTr="00A517C9">
        <w:trPr>
          <w:cantSplit/>
          <w:trHeight w:val="20"/>
          <w:tblHeader/>
        </w:trPr>
        <w:tc>
          <w:tcPr>
            <w:tcW w:w="2000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31648A">
              <w:rPr>
                <w:b/>
                <w:bCs/>
              </w:rPr>
              <w:t xml:space="preserve">TYPE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31648A">
              <w:rPr>
                <w:b/>
                <w:bCs/>
              </w:rPr>
              <w:t>COLOUR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31648A">
              <w:rPr>
                <w:b/>
                <w:bCs/>
              </w:rPr>
              <w:t>FILM THICKNESS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31648A">
              <w:rPr>
                <w:b/>
                <w:bCs/>
              </w:rPr>
              <w:t>TYPE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31648A">
              <w:rPr>
                <w:b/>
                <w:bCs/>
              </w:rPr>
              <w:t>RATE</w:t>
            </w:r>
          </w:p>
        </w:tc>
      </w:tr>
      <w:tr w:rsidR="000E7C61" w:rsidRPr="0031648A" w:rsidTr="00A517C9">
        <w:trPr>
          <w:trHeight w:val="20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Longitudinal Lines</w:t>
            </w:r>
          </w:p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Standard Beads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Waterborne pavement marking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White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Wet 300 – 375 </w:t>
            </w:r>
            <w:r w:rsidRPr="0031648A">
              <w:sym w:font="Symbol" w:char="F06D"/>
            </w:r>
            <w:r w:rsidRPr="0031648A">
              <w:t xml:space="preserve">m.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 xml:space="preserve">Type B High Retroreflectivity </w:t>
            </w:r>
          </w:p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Drop-on Glass Beads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Min. Retained 275 g/m</w:t>
            </w:r>
            <w:r w:rsidRPr="0031648A">
              <w:rPr>
                <w:vertAlign w:val="superscript"/>
              </w:rPr>
              <w:t>2</w:t>
            </w:r>
          </w:p>
        </w:tc>
      </w:tr>
      <w:tr w:rsidR="000E7C61" w:rsidRPr="0031648A" w:rsidTr="00A517C9">
        <w:trPr>
          <w:trHeight w:val="20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Longitudinal Lines</w:t>
            </w:r>
          </w:p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 xml:space="preserve">Large Beads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Waterborne pavement marking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White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Wet 600 </w:t>
            </w:r>
            <w:r w:rsidRPr="0031648A">
              <w:sym w:font="Symbol" w:char="F06D"/>
            </w:r>
            <w:r w:rsidRPr="0031648A">
              <w:t xml:space="preserve">m.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Type D-HR Large wet weather Glass Beads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Min. Retained 500 g/m</w:t>
            </w:r>
            <w:r w:rsidRPr="0031648A">
              <w:rPr>
                <w:vertAlign w:val="superscript"/>
              </w:rPr>
              <w:t>2</w:t>
            </w:r>
          </w:p>
        </w:tc>
      </w:tr>
      <w:tr w:rsidR="000E7C61" w:rsidRPr="0031648A" w:rsidTr="00A517C9">
        <w:trPr>
          <w:trHeight w:val="20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Longitudinal Lines</w:t>
            </w:r>
          </w:p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Large Bead/Glass anti skid mix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Waterborne pavement marking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White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Wet 600 </w:t>
            </w:r>
            <w:r w:rsidRPr="0031648A">
              <w:sym w:font="Symbol" w:char="F06D"/>
            </w:r>
            <w:r w:rsidRPr="0031648A">
              <w:t xml:space="preserve">m.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Type D-HR Large wet weather Glass Bead and</w:t>
            </w:r>
          </w:p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1 mm – 2 mm crushed glass mix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Min. Retained 750 g/m</w:t>
            </w:r>
            <w:r w:rsidRPr="0031648A">
              <w:rPr>
                <w:vertAlign w:val="superscript"/>
              </w:rPr>
              <w:t>2</w:t>
            </w:r>
          </w:p>
          <w:p w:rsidR="000E7C61" w:rsidRPr="0031648A" w:rsidRDefault="000E7C61" w:rsidP="00FC2FB4">
            <w:pPr>
              <w:spacing w:before="60" w:after="60"/>
              <w:jc w:val="center"/>
            </w:pPr>
          </w:p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Mix Ratio 70:30</w:t>
            </w:r>
          </w:p>
        </w:tc>
      </w:tr>
      <w:tr w:rsidR="000E7C61" w:rsidRPr="0031648A" w:rsidTr="00A517C9">
        <w:trPr>
          <w:trHeight w:val="20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Pavement messages, symbols, chevrons, diagonals &amp; transverse lines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Waterborne pavement marking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White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Dry 250 – 350 </w:t>
            </w:r>
            <w:r w:rsidRPr="0031648A">
              <w:sym w:font="Symbol" w:char="F06D"/>
            </w:r>
            <w:r w:rsidRPr="0031648A">
              <w:t>m.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Premixed with Crushed Quartz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Min. 0.50 kg/L</w:t>
            </w:r>
          </w:p>
        </w:tc>
      </w:tr>
      <w:tr w:rsidR="00BC1FFC" w:rsidRPr="0031648A" w:rsidTr="009A7A94">
        <w:trPr>
          <w:trHeight w:val="20"/>
        </w:trPr>
        <w:tc>
          <w:tcPr>
            <w:tcW w:w="20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BC1FFC">
            <w:pPr>
              <w:spacing w:before="60" w:after="60"/>
              <w:jc w:val="center"/>
            </w:pPr>
            <w:r w:rsidRPr="0031648A">
              <w:t xml:space="preserve">Pavement messages, symbols, chevrons, </w:t>
            </w:r>
            <w:r>
              <w:t xml:space="preserve">merge arrows, </w:t>
            </w:r>
            <w:r w:rsidRPr="0031648A">
              <w:t>diagonals &amp; transverse lines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High Performance Multi Component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9A7A94">
            <w:pPr>
              <w:spacing w:before="60" w:after="60"/>
              <w:jc w:val="center"/>
            </w:pPr>
            <w:r w:rsidRPr="0031648A">
              <w:t>White</w:t>
            </w:r>
          </w:p>
          <w:p w:rsidR="00BC1FFC" w:rsidRPr="0031648A" w:rsidRDefault="00BC1FFC" w:rsidP="009A7A94">
            <w:pPr>
              <w:spacing w:before="60" w:after="60"/>
              <w:jc w:val="center"/>
            </w:pPr>
            <w:r w:rsidRPr="0031648A">
              <w:t>Yellow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9A7A94">
            <w:pPr>
              <w:spacing w:before="60" w:after="60"/>
              <w:jc w:val="center"/>
            </w:pPr>
            <w:r w:rsidRPr="0031648A">
              <w:t>Base coat 1mm</w:t>
            </w:r>
          </w:p>
          <w:p w:rsidR="00BC1FFC" w:rsidRPr="0031648A" w:rsidRDefault="00BC1FFC" w:rsidP="009A7A94">
            <w:pPr>
              <w:spacing w:before="60" w:after="60"/>
              <w:jc w:val="center"/>
            </w:pPr>
            <w:r w:rsidRPr="0031648A">
              <w:t>Top coat 0.5 mm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1</w:t>
            </w:r>
            <w:r>
              <w:t>-3</w:t>
            </w:r>
            <w:r w:rsidRPr="0031648A">
              <w:t xml:space="preserve"> mm aggregate</w:t>
            </w:r>
          </w:p>
          <w:p w:rsidR="00BC1FFC" w:rsidRPr="0031648A" w:rsidRDefault="00BC1FFC" w:rsidP="009A7A94">
            <w:pPr>
              <w:spacing w:before="60" w:after="60"/>
              <w:jc w:val="center"/>
            </w:pPr>
            <w:r w:rsidRPr="0031648A">
              <w:t>Type D-HR Large wet weather Glass Beads with adhesion coating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1FFC" w:rsidRPr="0031648A" w:rsidRDefault="00BC1FFC" w:rsidP="00FC2FB4">
            <w:pPr>
              <w:spacing w:before="60" w:after="60"/>
              <w:jc w:val="center"/>
              <w:rPr>
                <w:vertAlign w:val="superscript"/>
              </w:rPr>
            </w:pPr>
            <w:r w:rsidRPr="0031648A">
              <w:t>400 gm/m</w:t>
            </w:r>
            <w:r w:rsidRPr="0031648A">
              <w:rPr>
                <w:vertAlign w:val="superscript"/>
              </w:rPr>
              <w:t>2</w:t>
            </w:r>
          </w:p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400 gm/m</w:t>
            </w:r>
            <w:r w:rsidRPr="0031648A">
              <w:rPr>
                <w:vertAlign w:val="superscript"/>
              </w:rPr>
              <w:t>2</w:t>
            </w:r>
          </w:p>
        </w:tc>
      </w:tr>
      <w:tr w:rsidR="00BC1FFC" w:rsidRPr="0031648A" w:rsidTr="00A517C9">
        <w:trPr>
          <w:trHeight w:val="20"/>
        </w:trPr>
        <w:tc>
          <w:tcPr>
            <w:tcW w:w="200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High Performance</w:t>
            </w:r>
          </w:p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Pre-Form Thermoplastic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White</w:t>
            </w:r>
          </w:p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Yellow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Pre-Form Thickness</w:t>
            </w:r>
          </w:p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2.5 mm ± 0.5 mm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Type C Intermix Glass Bead and</w:t>
            </w:r>
          </w:p>
          <w:p w:rsidR="00BC1FFC" w:rsidRPr="0031648A" w:rsidRDefault="00BC1FFC" w:rsidP="00FC2FB4">
            <w:pPr>
              <w:spacing w:before="60" w:after="60"/>
              <w:jc w:val="center"/>
              <w:rPr>
                <w:highlight w:val="yellow"/>
              </w:rPr>
            </w:pPr>
            <w:r w:rsidRPr="0031648A">
              <w:t>1 mm – 2 mm crushed glass mix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1.60 Kg/m</w:t>
            </w:r>
            <w:r w:rsidRPr="0031648A">
              <w:rPr>
                <w:vertAlign w:val="superscript"/>
              </w:rPr>
              <w:t>2</w:t>
            </w:r>
            <w:r w:rsidRPr="0031648A">
              <w:t xml:space="preserve"> retained</w:t>
            </w:r>
          </w:p>
          <w:p w:rsidR="00BC1FFC" w:rsidRPr="0031648A" w:rsidRDefault="00BC1FFC" w:rsidP="00FC2FB4">
            <w:pPr>
              <w:spacing w:before="60" w:after="60"/>
              <w:jc w:val="center"/>
              <w:rPr>
                <w:highlight w:val="yellow"/>
              </w:rPr>
            </w:pPr>
            <w:r w:rsidRPr="0031648A">
              <w:t>Mix Ratio 70:30</w:t>
            </w:r>
          </w:p>
        </w:tc>
      </w:tr>
      <w:tr w:rsidR="00BC1FFC" w:rsidRPr="0031648A" w:rsidTr="00A517C9">
        <w:trPr>
          <w:cantSplit/>
          <w:trHeight w:val="20"/>
        </w:trPr>
        <w:tc>
          <w:tcPr>
            <w:tcW w:w="20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BC1FFC">
            <w:pPr>
              <w:spacing w:before="60" w:after="60"/>
              <w:jc w:val="center"/>
            </w:pPr>
            <w:r w:rsidRPr="0031648A">
              <w:t>Bus and Cycle Lanes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Multi Component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Various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Base coat 1 mm</w:t>
            </w:r>
          </w:p>
          <w:p w:rsidR="00BC1FFC" w:rsidRPr="0031648A" w:rsidRDefault="00BC1FFC" w:rsidP="00FC2FB4">
            <w:pPr>
              <w:spacing w:before="60" w:after="60"/>
              <w:jc w:val="center"/>
              <w:rPr>
                <w:highlight w:val="yellow"/>
              </w:rPr>
            </w:pPr>
            <w:r w:rsidRPr="0031648A">
              <w:t>Top coat 0.5 mm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>
              <w:t>1-</w:t>
            </w:r>
            <w:r w:rsidRPr="0031648A">
              <w:t>3 mm aggregate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1.50 Kg/m</w:t>
            </w:r>
            <w:r w:rsidRPr="0031648A">
              <w:rPr>
                <w:vertAlign w:val="superscript"/>
              </w:rPr>
              <w:t>2</w:t>
            </w:r>
          </w:p>
        </w:tc>
      </w:tr>
      <w:tr w:rsidR="00BC1FFC" w:rsidRPr="0031648A" w:rsidTr="00A517C9">
        <w:trPr>
          <w:cantSplit/>
          <w:trHeight w:val="20"/>
        </w:trPr>
        <w:tc>
          <w:tcPr>
            <w:tcW w:w="200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Pigmented Binder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Various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Binder</w:t>
            </w:r>
          </w:p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Uniform thickness to provide adhesion to aggregate and substrate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>
              <w:t>1-</w:t>
            </w:r>
            <w:r w:rsidRPr="0031648A">
              <w:t>3 mm aggregate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FFC" w:rsidRPr="0031648A" w:rsidRDefault="00BC1FFC" w:rsidP="00FC2FB4">
            <w:pPr>
              <w:spacing w:before="60" w:after="60"/>
              <w:jc w:val="center"/>
            </w:pPr>
            <w:r w:rsidRPr="0031648A">
              <w:t>Complete coverage of treated area</w:t>
            </w:r>
          </w:p>
        </w:tc>
      </w:tr>
      <w:tr w:rsidR="000E7C61" w:rsidRPr="0031648A" w:rsidTr="00A517C9">
        <w:trPr>
          <w:cantSplit/>
          <w:trHeight w:val="20"/>
        </w:trPr>
        <w:tc>
          <w:tcPr>
            <w:tcW w:w="20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Traffic island and median kerbing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Latex exterior flat or low gloss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White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New: dry 60 – 90 </w:t>
            </w:r>
            <w:r w:rsidRPr="0031648A">
              <w:sym w:font="Symbol" w:char="F06D"/>
            </w:r>
            <w:r w:rsidRPr="0031648A">
              <w:t>m.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Type B High Retroreflectivity Drop-on Glass Beads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Min. Retained 275 g/m</w:t>
            </w:r>
            <w:r w:rsidRPr="0031648A">
              <w:rPr>
                <w:vertAlign w:val="superscript"/>
              </w:rPr>
              <w:t>2</w:t>
            </w:r>
          </w:p>
        </w:tc>
      </w:tr>
      <w:tr w:rsidR="000E7C61" w:rsidRPr="0031648A" w:rsidTr="00A517C9">
        <w:trPr>
          <w:cantSplit/>
          <w:trHeight w:val="20"/>
        </w:trPr>
        <w:tc>
          <w:tcPr>
            <w:tcW w:w="2000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417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134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Maintenance:</w:t>
            </w:r>
          </w:p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dry 40 – 60 </w:t>
            </w:r>
            <w:r w:rsidRPr="0031648A">
              <w:sym w:font="Symbol" w:char="F06D"/>
            </w:r>
            <w:r w:rsidRPr="0031648A">
              <w:t>m.</w:t>
            </w:r>
          </w:p>
        </w:tc>
        <w:tc>
          <w:tcPr>
            <w:tcW w:w="1559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418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</w:tr>
    </w:tbl>
    <w:p w:rsidR="006C1501" w:rsidRDefault="006C1501">
      <w:r>
        <w:br w:type="page"/>
      </w:r>
    </w:p>
    <w:tbl>
      <w:tblPr>
        <w:tblW w:w="93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417"/>
        <w:gridCol w:w="1134"/>
        <w:gridCol w:w="1843"/>
        <w:gridCol w:w="1559"/>
        <w:gridCol w:w="1418"/>
      </w:tblGrid>
      <w:tr w:rsidR="000E7C61" w:rsidRPr="0031648A" w:rsidTr="00A517C9">
        <w:trPr>
          <w:cantSplit/>
          <w:trHeight w:val="20"/>
        </w:trPr>
        <w:tc>
          <w:tcPr>
            <w:tcW w:w="20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Pavement bars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Latex exterior flat or low gloss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Yellow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New: dry 60 – 90 </w:t>
            </w:r>
            <w:r w:rsidRPr="0031648A">
              <w:sym w:font="Symbol" w:char="F06D"/>
            </w:r>
            <w:r w:rsidRPr="0031648A">
              <w:t>m.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Type B High Retroreflectivity Drop-on Glass Beads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Min. Retained 275 g/m</w:t>
            </w:r>
            <w:r w:rsidRPr="0031648A">
              <w:rPr>
                <w:vertAlign w:val="superscript"/>
              </w:rPr>
              <w:t>2</w:t>
            </w:r>
          </w:p>
        </w:tc>
      </w:tr>
      <w:tr w:rsidR="000E7C61" w:rsidRPr="0031648A" w:rsidTr="00A517C9">
        <w:trPr>
          <w:cantSplit/>
          <w:trHeight w:val="20"/>
        </w:trPr>
        <w:tc>
          <w:tcPr>
            <w:tcW w:w="2000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417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134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Maintenance:</w:t>
            </w:r>
          </w:p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dry 40 – 60 </w:t>
            </w:r>
            <w:r w:rsidRPr="0031648A">
              <w:sym w:font="Symbol" w:char="F06D"/>
            </w:r>
            <w:r w:rsidRPr="0031648A">
              <w:t>m.</w:t>
            </w:r>
          </w:p>
        </w:tc>
        <w:tc>
          <w:tcPr>
            <w:tcW w:w="1559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  <w:highlight w:val="yellow"/>
              </w:rPr>
            </w:pPr>
          </w:p>
        </w:tc>
      </w:tr>
      <w:tr w:rsidR="000E7C61" w:rsidRPr="0031648A" w:rsidTr="00A517C9">
        <w:trPr>
          <w:trHeight w:val="20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Clearway markings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Waterborne pavement marking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Yellow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Wet 300 – 375 </w:t>
            </w:r>
            <w:r w:rsidRPr="0031648A">
              <w:sym w:font="Symbol" w:char="F06D"/>
            </w:r>
            <w:r w:rsidRPr="0031648A">
              <w:t xml:space="preserve">m.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Type B High Retroreflectivity Drop-on Glass Beads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Min. Retained 275 g/m</w:t>
            </w:r>
            <w:r w:rsidRPr="0031648A">
              <w:rPr>
                <w:vertAlign w:val="superscript"/>
              </w:rPr>
              <w:t>2</w:t>
            </w:r>
          </w:p>
        </w:tc>
      </w:tr>
      <w:tr w:rsidR="000E7C61" w:rsidRPr="0031648A" w:rsidTr="00A517C9">
        <w:trPr>
          <w:trHeight w:val="20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No standing zones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Waterborne pavement marking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Yellow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Wet 300 – 375 </w:t>
            </w:r>
            <w:r w:rsidRPr="0031648A">
              <w:sym w:font="Symbol" w:char="F06D"/>
            </w:r>
            <w:r w:rsidRPr="0031648A">
              <w:t xml:space="preserve">m.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  <w:r w:rsidRPr="0031648A">
              <w:t>Type B High Retroreflectivity</w:t>
            </w:r>
          </w:p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Drop-on Glass Beads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Min. Retained 275 g/m</w:t>
            </w:r>
            <w:r w:rsidRPr="0031648A">
              <w:rPr>
                <w:vertAlign w:val="superscript"/>
              </w:rPr>
              <w:t>2</w:t>
            </w:r>
          </w:p>
        </w:tc>
      </w:tr>
      <w:tr w:rsidR="000E7C61" w:rsidRPr="0031648A" w:rsidTr="00A517C9">
        <w:trPr>
          <w:cantSplit/>
          <w:trHeight w:val="290"/>
        </w:trPr>
        <w:tc>
          <w:tcPr>
            <w:tcW w:w="20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Blacking-out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Waterborne pavement marking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Black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Dry 250 –350 </w:t>
            </w:r>
            <w:r w:rsidRPr="0031648A">
              <w:sym w:font="Symbol" w:char="F06D"/>
            </w:r>
            <w:r w:rsidRPr="0031648A">
              <w:t>m.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Premixed with Crushed Quartz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Min. 0.50 kg/L</w:t>
            </w:r>
          </w:p>
        </w:tc>
      </w:tr>
      <w:tr w:rsidR="000E7C61" w:rsidRPr="0031648A" w:rsidTr="00A517C9">
        <w:trPr>
          <w:cantSplit/>
          <w:trHeight w:val="350"/>
        </w:trPr>
        <w:tc>
          <w:tcPr>
            <w:tcW w:w="2000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417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134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843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559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418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</w:tr>
      <w:tr w:rsidR="000E7C61" w:rsidRPr="0031648A" w:rsidTr="00A517C9">
        <w:trPr>
          <w:cantSplit/>
          <w:trHeight w:val="290"/>
        </w:trPr>
        <w:tc>
          <w:tcPr>
            <w:tcW w:w="20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Rail crossing box hatchings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Waterborne pavement marking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Yellow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Dry 250 –350 </w:t>
            </w:r>
            <w:r w:rsidRPr="0031648A">
              <w:sym w:font="Symbol" w:char="F06D"/>
            </w:r>
            <w:r w:rsidRPr="0031648A">
              <w:t>m.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Premixed with Crushed Quartz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t>Min. 0.50 kg/L</w:t>
            </w:r>
          </w:p>
        </w:tc>
      </w:tr>
      <w:tr w:rsidR="000E7C61" w:rsidRPr="0031648A" w:rsidTr="00A517C9">
        <w:trPr>
          <w:cantSplit/>
          <w:trHeight w:val="350"/>
        </w:trPr>
        <w:tc>
          <w:tcPr>
            <w:tcW w:w="200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</w:p>
        </w:tc>
        <w:tc>
          <w:tcPr>
            <w:tcW w:w="141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31648A" w:rsidRDefault="000E7C61" w:rsidP="00FC2FB4">
            <w:pPr>
              <w:spacing w:before="60" w:after="60"/>
              <w:jc w:val="center"/>
            </w:pPr>
          </w:p>
        </w:tc>
      </w:tr>
      <w:tr w:rsidR="000E7C61" w:rsidRPr="0031648A" w:rsidTr="00A517C9">
        <w:trPr>
          <w:cantSplit/>
          <w:trHeight w:val="350"/>
        </w:trPr>
        <w:tc>
          <w:tcPr>
            <w:tcW w:w="2000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417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134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843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559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418" w:type="dxa"/>
            <w:vMerge/>
            <w:vAlign w:val="center"/>
          </w:tcPr>
          <w:p w:rsidR="000E7C61" w:rsidRPr="0031648A" w:rsidRDefault="000E7C61" w:rsidP="00FC2FB4">
            <w:pPr>
              <w:spacing w:before="60" w:after="60"/>
              <w:rPr>
                <w:rFonts w:eastAsia="Arial Unicode MS"/>
              </w:rPr>
            </w:pPr>
          </w:p>
        </w:tc>
      </w:tr>
    </w:tbl>
    <w:p w:rsidR="000E7C61" w:rsidRDefault="000E7C61" w:rsidP="000E7C61">
      <w:pPr>
        <w:jc w:val="left"/>
      </w:pPr>
    </w:p>
    <w:p w:rsidR="0029138C" w:rsidRPr="0031648A" w:rsidRDefault="0029138C" w:rsidP="000E7C61">
      <w:pPr>
        <w:jc w:val="left"/>
      </w:pPr>
    </w:p>
    <w:p w:rsidR="000E7C61" w:rsidRPr="0031648A" w:rsidRDefault="000E7C61" w:rsidP="0029138C">
      <w:pPr>
        <w:numPr>
          <w:ilvl w:val="1"/>
          <w:numId w:val="29"/>
        </w:numPr>
        <w:rPr>
          <w:b/>
          <w:bCs/>
        </w:rPr>
      </w:pPr>
      <w:r w:rsidRPr="0031648A">
        <w:rPr>
          <w:b/>
          <w:bCs/>
          <w:u w:val="single"/>
        </w:rPr>
        <w:t>Placement of Markings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For maintenance repainting, the existing road markings </w:t>
      </w:r>
      <w:r w:rsidR="007605D8">
        <w:t>must</w:t>
      </w:r>
      <w:r w:rsidRPr="0031648A">
        <w:t xml:space="preserve"> be repainted to restore the original size, shape and line pattern.  Pavement marking </w:t>
      </w:r>
      <w:r w:rsidR="007605D8">
        <w:t>must</w:t>
      </w:r>
      <w:r w:rsidRPr="0031648A">
        <w:t xml:space="preserve"> be placed on the road surface in correct position within the following tolerances specified in Table 5.14.</w:t>
      </w:r>
    </w:p>
    <w:p w:rsidR="000E7C61" w:rsidRPr="0031648A" w:rsidRDefault="000E7C61" w:rsidP="000E7C61"/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402"/>
      </w:tblGrid>
      <w:tr w:rsidR="000E7C61" w:rsidRPr="0031648A" w:rsidTr="00A517C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06" w:type="dxa"/>
            <w:gridSpan w:val="3"/>
            <w:vAlign w:val="center"/>
          </w:tcPr>
          <w:p w:rsidR="000E7C61" w:rsidRPr="0031648A" w:rsidRDefault="000E7C61" w:rsidP="00A517C9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31648A">
              <w:rPr>
                <w:b/>
                <w:sz w:val="19"/>
                <w:szCs w:val="19"/>
              </w:rPr>
              <w:t>TABLE 5.14</w:t>
            </w:r>
            <w:r w:rsidRPr="0031648A">
              <w:rPr>
                <w:b/>
                <w:sz w:val="19"/>
                <w:szCs w:val="19"/>
              </w:rPr>
              <w:tab/>
              <w:t>PLACEMENT OF MARKINGS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69" w:type="dxa"/>
            <w:vAlign w:val="center"/>
          </w:tcPr>
          <w:p w:rsidR="000E7C61" w:rsidRPr="0031648A" w:rsidRDefault="000E7C61" w:rsidP="00A517C9">
            <w:pPr>
              <w:spacing w:before="120" w:after="120"/>
              <w:jc w:val="center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0E7C61" w:rsidRPr="0031648A" w:rsidRDefault="000E7C61" w:rsidP="00A517C9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31648A">
              <w:rPr>
                <w:b/>
                <w:sz w:val="19"/>
                <w:szCs w:val="19"/>
              </w:rPr>
              <w:t>NEW WORK</w:t>
            </w:r>
          </w:p>
        </w:tc>
        <w:tc>
          <w:tcPr>
            <w:tcW w:w="3402" w:type="dxa"/>
            <w:vAlign w:val="center"/>
          </w:tcPr>
          <w:p w:rsidR="000E7C61" w:rsidRPr="0031648A" w:rsidRDefault="000E7C61" w:rsidP="00A517C9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31648A">
              <w:rPr>
                <w:b/>
                <w:sz w:val="19"/>
                <w:szCs w:val="19"/>
              </w:rPr>
              <w:t>MAINTENANCE REPAINTING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120" w:after="120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  <w:u w:val="single"/>
              </w:rPr>
              <w:t>SPOTTING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120" w:after="120"/>
              <w:jc w:val="left"/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after="80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</w:rPr>
              <w:t>Line marking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after="8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sym w:font="Symbol" w:char="F0B1"/>
            </w:r>
            <w:r w:rsidRPr="0031648A">
              <w:rPr>
                <w:sz w:val="19"/>
                <w:szCs w:val="19"/>
              </w:rPr>
              <w:t> 50 mm of pavement/ seal centre or to surveyed design strings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after="80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-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tabs>
                <w:tab w:val="num" w:pos="720"/>
              </w:tabs>
              <w:spacing w:after="80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Road marking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after="8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sym w:font="Symbol" w:char="F0B1"/>
            </w:r>
            <w:r w:rsidRPr="0031648A">
              <w:rPr>
                <w:sz w:val="19"/>
                <w:szCs w:val="19"/>
              </w:rPr>
              <w:t> 50 mm of drawing dimensions and control lines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after="80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-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120" w:after="120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  <w:u w:val="single"/>
              </w:rPr>
              <w:t>ROAD MARKING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120" w:after="120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sym w:font="Symbol" w:char="F0B1"/>
            </w:r>
            <w:r w:rsidRPr="0031648A">
              <w:rPr>
                <w:sz w:val="19"/>
                <w:szCs w:val="19"/>
              </w:rPr>
              <w:t> 25 mm in relation to "spotting"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120" w:after="120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 xml:space="preserve">Areas </w:t>
            </w:r>
            <w:r w:rsidR="007605D8">
              <w:rPr>
                <w:sz w:val="19"/>
                <w:szCs w:val="19"/>
              </w:rPr>
              <w:t>must</w:t>
            </w:r>
            <w:r w:rsidRPr="0031648A">
              <w:rPr>
                <w:sz w:val="19"/>
                <w:szCs w:val="19"/>
              </w:rPr>
              <w:t xml:space="preserve"> not be less than existing shape and size and not more than 10 mm greater than the existing all round (i.e. 0, + 10 mm).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120" w:after="120"/>
              <w:jc w:val="left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  <w:u w:val="single"/>
              </w:rPr>
              <w:t>LINE MARKING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120" w:after="120"/>
              <w:jc w:val="left"/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120" w:after="120"/>
              <w:jc w:val="left"/>
              <w:rPr>
                <w:sz w:val="19"/>
                <w:szCs w:val="19"/>
              </w:rPr>
            </w:pP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</w:rPr>
              <w:t>Edgeline distance from centreline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sym w:font="Symbol" w:char="F0B1"/>
            </w:r>
            <w:r w:rsidRPr="0031648A">
              <w:rPr>
                <w:sz w:val="19"/>
                <w:szCs w:val="19"/>
              </w:rPr>
              <w:t> 25 mm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-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</w:rPr>
              <w:t>Resultant lane width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sym w:font="Symbol" w:char="F0B1"/>
            </w:r>
            <w:r w:rsidRPr="0031648A">
              <w:rPr>
                <w:sz w:val="19"/>
                <w:szCs w:val="19"/>
              </w:rPr>
              <w:t> 50 mm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-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</w:rPr>
              <w:t>Lateral deviation from "spotting"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sym w:font="Symbol" w:char="F0B1"/>
            </w:r>
            <w:r w:rsidRPr="0031648A">
              <w:rPr>
                <w:sz w:val="19"/>
                <w:szCs w:val="19"/>
              </w:rPr>
              <w:t> 25 mm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-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</w:rPr>
              <w:t>Stripe width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+ 10, - 0 mm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+ 10, - 0 mm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</w:rPr>
              <w:t>Stripe length, less than 12 m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+ 150, - 0 mm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+ 150, - 0 mm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</w:rPr>
              <w:t>Stripe length, greater than 12 m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+ 300, - 0 mm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+ 300, - 0 mm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</w:rPr>
              <w:t>Module length, 12 m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+ 150, - 0 mm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+ 150, - 0 mm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</w:rPr>
              <w:t>Module length, greater than 12 m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+ 300, - 0 mm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+ 300, - 0 mm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</w:rPr>
              <w:t>"New over old" line placement (lateral)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-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&lt; 10 mm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  <w:u w:val="single"/>
              </w:rPr>
            </w:pPr>
            <w:r w:rsidRPr="0031648A">
              <w:rPr>
                <w:sz w:val="19"/>
                <w:szCs w:val="19"/>
              </w:rPr>
              <w:t>"New over old" line placement (longitudinal)</w:t>
            </w:r>
          </w:p>
        </w:tc>
        <w:tc>
          <w:tcPr>
            <w:tcW w:w="2835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-</w:t>
            </w:r>
          </w:p>
        </w:tc>
        <w:tc>
          <w:tcPr>
            <w:tcW w:w="3402" w:type="dxa"/>
          </w:tcPr>
          <w:p w:rsidR="000E7C61" w:rsidRPr="0031648A" w:rsidRDefault="000E7C61" w:rsidP="00A517C9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31648A">
              <w:rPr>
                <w:sz w:val="19"/>
                <w:szCs w:val="19"/>
              </w:rPr>
              <w:t>+ 150, - 0 mm</w:t>
            </w:r>
          </w:p>
        </w:tc>
      </w:tr>
    </w:tbl>
    <w:p w:rsidR="000E7C61" w:rsidRDefault="000E7C61" w:rsidP="000E7C61">
      <w:pPr>
        <w:rPr>
          <w:bCs/>
        </w:rPr>
      </w:pPr>
    </w:p>
    <w:p w:rsidR="0029138C" w:rsidRPr="0031648A" w:rsidRDefault="0029138C" w:rsidP="000E7C61">
      <w:pPr>
        <w:rPr>
          <w:bCs/>
        </w:rPr>
      </w:pPr>
    </w:p>
    <w:p w:rsidR="000E7C61" w:rsidRPr="0031648A" w:rsidRDefault="000E7C61" w:rsidP="0029138C">
      <w:pPr>
        <w:numPr>
          <w:ilvl w:val="1"/>
          <w:numId w:val="29"/>
        </w:numPr>
        <w:rPr>
          <w:b/>
          <w:bCs/>
        </w:rPr>
      </w:pPr>
      <w:r w:rsidRPr="0031648A">
        <w:rPr>
          <w:b/>
          <w:bCs/>
          <w:u w:val="single"/>
        </w:rPr>
        <w:t xml:space="preserve">No </w:t>
      </w:r>
      <w:r w:rsidRPr="0029138C">
        <w:rPr>
          <w:b/>
          <w:u w:val="single"/>
        </w:rPr>
        <w:t>Overtaking</w:t>
      </w:r>
      <w:r w:rsidRPr="0031648A">
        <w:rPr>
          <w:b/>
          <w:bCs/>
          <w:u w:val="single"/>
        </w:rPr>
        <w:t xml:space="preserve"> Zones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The Contractor </w:t>
      </w:r>
      <w:r w:rsidR="007605D8">
        <w:t>must</w:t>
      </w:r>
      <w:r w:rsidRPr="0031648A">
        <w:t xml:space="preserve"> accurately locate the extent of no overtaking zones from the Drawings prior to the commencement of works.  To locate zones the Contractor </w:t>
      </w:r>
      <w:r w:rsidR="007605D8">
        <w:t>must</w:t>
      </w:r>
      <w:r w:rsidRPr="0031648A">
        <w:t xml:space="preserve"> use a calibrated, precise vehicle mounted measuring device capable of measuring to 1 m accuracy.</w:t>
      </w:r>
      <w:r w:rsidR="00E8694D">
        <w:t xml:space="preserve"> </w:t>
      </w:r>
      <w:r w:rsidRPr="0031648A">
        <w:t xml:space="preserve">If any discrepancies are identified the Contractor </w:t>
      </w:r>
      <w:r w:rsidR="007605D8">
        <w:t>must</w:t>
      </w:r>
      <w:r w:rsidRPr="0031648A">
        <w:t xml:space="preserve"> provide immediate notification.  Under no circumstances </w:t>
      </w:r>
      <w:r w:rsidR="007605D8">
        <w:t>must</w:t>
      </w:r>
      <w:r w:rsidRPr="0031648A">
        <w:t xml:space="preserve"> the Contractor install new or modify existing installations.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29138C">
      <w:pPr>
        <w:numPr>
          <w:ilvl w:val="1"/>
          <w:numId w:val="29"/>
        </w:numPr>
        <w:rPr>
          <w:b/>
        </w:rPr>
      </w:pPr>
      <w:r w:rsidRPr="0031648A">
        <w:rPr>
          <w:b/>
          <w:u w:val="single"/>
        </w:rPr>
        <w:t>Removal of Pavement Markings</w:t>
      </w:r>
      <w:r w:rsidR="00B77092" w:rsidRPr="0031648A">
        <w:rPr>
          <w:b/>
          <w:u w:val="single"/>
        </w:rPr>
        <w:t xml:space="preserve">  (PCCP Class 2</w:t>
      </w:r>
      <w:r w:rsidR="0096742B" w:rsidRPr="0031648A">
        <w:rPr>
          <w:b/>
          <w:u w:val="single"/>
        </w:rPr>
        <w:t>7-1</w:t>
      </w:r>
      <w:r w:rsidR="00B77092" w:rsidRPr="0031648A">
        <w:rPr>
          <w:b/>
          <w:u w:val="single"/>
        </w:rPr>
        <w:t>)</w:t>
      </w:r>
    </w:p>
    <w:p w:rsidR="000E7C61" w:rsidRPr="0031648A" w:rsidRDefault="000E7C61" w:rsidP="000E7C61"/>
    <w:p w:rsidR="000E7C61" w:rsidRPr="0031648A" w:rsidRDefault="000E7C61" w:rsidP="000E7C61">
      <w:pPr>
        <w:rPr>
          <w:spacing w:val="-2"/>
        </w:rPr>
      </w:pPr>
      <w:r w:rsidRPr="0031648A">
        <w:t xml:space="preserve">Removal of pavement marking </w:t>
      </w:r>
      <w:r w:rsidR="007605D8">
        <w:t>must</w:t>
      </w:r>
      <w:r w:rsidRPr="0031648A">
        <w:t xml:space="preserve"> be undertaken so as to not adversely affect the skid resistance, texture depth, susceptibility to ponding and appearance of the road surface.  The Contractor </w:t>
      </w:r>
      <w:r w:rsidR="007605D8">
        <w:t>must</w:t>
      </w:r>
      <w:r w:rsidRPr="0031648A">
        <w:t xml:space="preserve"> obtain approval of the proposed removal method prior to undertaking the removal.  </w:t>
      </w:r>
      <w:r w:rsidRPr="0031648A">
        <w:rPr>
          <w:spacing w:val="-2"/>
        </w:rPr>
        <w:t xml:space="preserve">Any materials produced by removal activity </w:t>
      </w:r>
      <w:r w:rsidR="007605D8">
        <w:rPr>
          <w:spacing w:val="-2"/>
        </w:rPr>
        <w:t>must</w:t>
      </w:r>
      <w:r w:rsidRPr="0031648A">
        <w:rPr>
          <w:spacing w:val="-2"/>
        </w:rPr>
        <w:t xml:space="preserve"> be immediately collected and removed from site and disposed of in an environmentally acceptable manner.</w:t>
      </w:r>
    </w:p>
    <w:p w:rsidR="000E7C61" w:rsidRPr="0031648A" w:rsidRDefault="000E7C61" w:rsidP="000E7C61">
      <w:pPr>
        <w:rPr>
          <w:spacing w:val="-2"/>
        </w:rPr>
      </w:pPr>
    </w:p>
    <w:p w:rsidR="000E7C61" w:rsidRPr="0031648A" w:rsidRDefault="000E7C61" w:rsidP="0029138C">
      <w:pPr>
        <w:numPr>
          <w:ilvl w:val="1"/>
          <w:numId w:val="29"/>
        </w:numPr>
        <w:rPr>
          <w:b/>
        </w:rPr>
      </w:pPr>
      <w:r w:rsidRPr="0031648A">
        <w:rPr>
          <w:b/>
          <w:u w:val="single"/>
        </w:rPr>
        <w:t>Transition between Existing and New Work</w:t>
      </w:r>
    </w:p>
    <w:p w:rsidR="000E7C61" w:rsidRPr="0031648A" w:rsidRDefault="000E7C61" w:rsidP="000E7C61"/>
    <w:p w:rsidR="000E7C61" w:rsidRPr="0031648A" w:rsidRDefault="000E7C61" w:rsidP="000E7C6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31648A">
        <w:t xml:space="preserve">This sub-clause applies where a change of lane width after resealing works or road reconstruction results in a miss-match of an edge line.  Where this occurs, the Contractor </w:t>
      </w:r>
      <w:r w:rsidR="007605D8">
        <w:t>must</w:t>
      </w:r>
      <w:r w:rsidRPr="0031648A">
        <w:t xml:space="preserve"> ensure that the edge lines transition smoothly between the old and new work.  Unless specified otherwise, a transition treatment </w:t>
      </w:r>
      <w:r w:rsidR="007605D8">
        <w:t>must</w:t>
      </w:r>
      <w:r w:rsidRPr="0031648A">
        <w:t xml:space="preserve"> be made as indicated in Figure 5.16. The existing edge line and RRPM’s </w:t>
      </w:r>
      <w:r w:rsidR="007605D8">
        <w:t>must</w:t>
      </w:r>
      <w:r w:rsidRPr="0031648A">
        <w:t xml:space="preserve"> be removed from the existing pavement and the new edge line </w:t>
      </w:r>
      <w:r w:rsidR="007605D8">
        <w:t>must</w:t>
      </w:r>
      <w:r w:rsidRPr="0031648A">
        <w:t xml:space="preserve"> transition between the old and new work on the existing pavement.  The transitional line marking treatment </w:t>
      </w:r>
      <w:r w:rsidR="007605D8">
        <w:t>must</w:t>
      </w:r>
      <w:r w:rsidRPr="0031648A">
        <w:t xml:space="preserve"> not be applied to new pavement work.</w:t>
      </w:r>
    </w:p>
    <w:p w:rsidR="000E7C61" w:rsidRPr="006C1501" w:rsidRDefault="000E7C61" w:rsidP="000E7C61">
      <w:pPr>
        <w:autoSpaceDE w:val="0"/>
        <w:autoSpaceDN w:val="0"/>
        <w:adjustRightInd w:val="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32"/>
        <w:gridCol w:w="3364"/>
        <w:gridCol w:w="2976"/>
      </w:tblGrid>
      <w:tr w:rsidR="000E7C61" w:rsidRPr="007B242A" w:rsidTr="007B242A">
        <w:tc>
          <w:tcPr>
            <w:tcW w:w="2732" w:type="dxa"/>
            <w:tcBorders>
              <w:top w:val="single" w:sz="12" w:space="0" w:color="FFFFFF"/>
              <w:left w:val="dotDotDash" w:sz="4" w:space="0" w:color="FFFFFF"/>
              <w:bottom w:val="dotDotDash" w:sz="4" w:space="0" w:color="FFFFFF"/>
              <w:right w:val="single" w:sz="12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  <w:r w:rsidRPr="007B242A">
              <w:rPr>
                <w:sz w:val="18"/>
                <w:szCs w:val="18"/>
              </w:rPr>
              <w:t>New pavement work</w:t>
            </w:r>
          </w:p>
          <w:p w:rsidR="000E7C61" w:rsidRPr="007B242A" w:rsidRDefault="000733AE" w:rsidP="00A517C9">
            <w:pPr>
              <w:rPr>
                <w:sz w:val="18"/>
                <w:szCs w:val="18"/>
              </w:rPr>
            </w:pPr>
            <w:r w:rsidRPr="007B242A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26035</wp:posOffset>
                      </wp:positionV>
                      <wp:extent cx="365760" cy="726440"/>
                      <wp:effectExtent l="0" t="0" r="0" b="0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726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D5727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2.05pt" to="40.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46LQIAAEw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">
                      <v:stroke endarrow="open"/>
                    </v:line>
                  </w:pict>
                </mc:Fallback>
              </mc:AlternateContent>
            </w:r>
          </w:p>
          <w:p w:rsidR="000E7C61" w:rsidRPr="007B242A" w:rsidRDefault="000E7C61" w:rsidP="007B242A">
            <w:pPr>
              <w:jc w:val="right"/>
              <w:rPr>
                <w:sz w:val="18"/>
                <w:szCs w:val="18"/>
              </w:rPr>
            </w:pPr>
            <w:r w:rsidRPr="007B242A">
              <w:rPr>
                <w:sz w:val="18"/>
                <w:szCs w:val="18"/>
              </w:rPr>
              <w:tab/>
              <w:t>Start of new work</w:t>
            </w:r>
          </w:p>
        </w:tc>
        <w:tc>
          <w:tcPr>
            <w:tcW w:w="3364" w:type="dxa"/>
            <w:tcBorders>
              <w:top w:val="dotDotDash" w:sz="4" w:space="0" w:color="FFFFFF"/>
              <w:left w:val="single" w:sz="12" w:space="0" w:color="FFFFFF"/>
              <w:bottom w:val="dotDotDash" w:sz="4" w:space="0" w:color="FFFFFF"/>
              <w:right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  <w:tr2bl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</w:tr>
      <w:tr w:rsidR="000E7C61" w:rsidRPr="007B242A" w:rsidTr="007B242A">
        <w:tc>
          <w:tcPr>
            <w:tcW w:w="2732" w:type="dxa"/>
            <w:tcBorders>
              <w:top w:val="dotDotDash" w:sz="4" w:space="0" w:color="FFFFFF"/>
              <w:left w:val="dotDotDash" w:sz="4" w:space="0" w:color="FFFFFF"/>
              <w:bottom w:val="single" w:sz="12" w:space="0" w:color="000000"/>
              <w:right w:val="single" w:sz="12" w:space="0" w:color="FFFFFF"/>
            </w:tcBorders>
          </w:tcPr>
          <w:p w:rsidR="000E7C61" w:rsidRPr="007B242A" w:rsidRDefault="000733AE" w:rsidP="00A517C9">
            <w:pPr>
              <w:rPr>
                <w:sz w:val="18"/>
                <w:szCs w:val="18"/>
              </w:rPr>
            </w:pPr>
            <w:r w:rsidRPr="007B242A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31115</wp:posOffset>
                      </wp:positionV>
                      <wp:extent cx="474345" cy="690880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345" cy="690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2AE07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2.45pt" to="12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4jLAIAAEw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3364" w:type="dxa"/>
            <w:tcBorders>
              <w:top w:val="dotDotDash" w:sz="4" w:space="0" w:color="FFFFFF"/>
              <w:left w:val="single" w:sz="12" w:space="0" w:color="FFFFFF"/>
              <w:bottom w:val="single" w:sz="12" w:space="0" w:color="FFFFFF"/>
              <w:right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DotDash" w:sz="4" w:space="0" w:color="FFFFFF"/>
              <w:left w:val="dotDotDash" w:sz="4" w:space="0" w:color="FFFFFF"/>
              <w:bottom w:val="single" w:sz="12" w:space="0" w:color="000000"/>
              <w:right w:val="dotDotDash" w:sz="4" w:space="0" w:color="FFFFFF"/>
              <w:tr2bl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  <w:r w:rsidRPr="007B242A">
              <w:rPr>
                <w:sz w:val="18"/>
                <w:szCs w:val="18"/>
              </w:rPr>
              <w:t>Existing pavement</w:t>
            </w:r>
          </w:p>
        </w:tc>
      </w:tr>
      <w:tr w:rsidR="000E7C61" w:rsidRPr="007B242A" w:rsidTr="007B242A">
        <w:tc>
          <w:tcPr>
            <w:tcW w:w="2732" w:type="dxa"/>
            <w:tcBorders>
              <w:top w:val="single" w:sz="12" w:space="0" w:color="000000"/>
              <w:left w:val="dotDotDash" w:sz="4" w:space="0" w:color="FFFFFF"/>
              <w:bottom w:val="dotDotDash" w:sz="4" w:space="0" w:color="FFFFFF"/>
              <w:right w:val="single" w:sz="4" w:space="0" w:color="808080"/>
            </w:tcBorders>
            <w:shd w:val="thinDiagCross" w:color="auto" w:fill="F3F3F3"/>
          </w:tcPr>
          <w:p w:rsidR="000E7C61" w:rsidRPr="007B242A" w:rsidRDefault="000733AE" w:rsidP="00A517C9">
            <w:pPr>
              <w:rPr>
                <w:sz w:val="18"/>
                <w:szCs w:val="18"/>
              </w:rPr>
            </w:pPr>
            <w:r w:rsidRPr="007B242A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115570</wp:posOffset>
                      </wp:positionV>
                      <wp:extent cx="1236345" cy="1478280"/>
                      <wp:effectExtent l="0" t="0" r="0" b="0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6345" cy="1478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1C59C" id="Line 1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9.1pt" to="174.6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J2NQIAAFg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3364" w:type="dxa"/>
            <w:tcBorders>
              <w:top w:val="single" w:sz="12" w:space="0" w:color="FFFFFF"/>
              <w:left w:val="single" w:sz="4" w:space="0" w:color="808080"/>
              <w:bottom w:val="dotDotDash" w:sz="8" w:space="0" w:color="000000"/>
              <w:right w:val="dotDotDash" w:sz="4" w:space="0" w:color="FFFFFF"/>
              <w:tl2br w:val="single" w:sz="12" w:space="0" w:color="000000"/>
            </w:tcBorders>
          </w:tcPr>
          <w:p w:rsidR="000E7C61" w:rsidRPr="007B242A" w:rsidRDefault="000733AE" w:rsidP="00A517C9">
            <w:pPr>
              <w:rPr>
                <w:sz w:val="18"/>
                <w:szCs w:val="18"/>
              </w:rPr>
            </w:pPr>
            <w:r w:rsidRPr="007B242A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5715</wp:posOffset>
                      </wp:positionV>
                      <wp:extent cx="579120" cy="470535"/>
                      <wp:effectExtent l="0" t="0" r="0" b="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9120" cy="470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DF980" id="Line 1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.45pt" to="16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otDotDash" w:sz="4" w:space="0" w:color="FFFFFF"/>
              <w:left w:val="dotDotDash" w:sz="4" w:space="0" w:color="FFFFFF"/>
              <w:bottom w:val="single" w:sz="12" w:space="0" w:color="000000"/>
              <w:right w:val="dotDotDash" w:sz="4" w:space="0" w:color="FFFFFF"/>
              <w:tr2bl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</w:tr>
      <w:tr w:rsidR="000E7C61" w:rsidRPr="007B242A" w:rsidTr="007B242A">
        <w:tc>
          <w:tcPr>
            <w:tcW w:w="2732" w:type="dxa"/>
            <w:tcBorders>
              <w:top w:val="dotDotDash" w:sz="4" w:space="0" w:color="FFFFFF"/>
              <w:left w:val="dotDotDash" w:sz="4" w:space="0" w:color="FFFFFF"/>
              <w:bottom w:val="dashed" w:sz="12" w:space="0" w:color="auto"/>
              <w:right w:val="single" w:sz="4" w:space="0" w:color="808080"/>
            </w:tcBorders>
            <w:shd w:val="thinDiagCross" w:color="auto" w:fill="F3F3F3"/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dotDotDash" w:sz="8" w:space="0" w:color="000000"/>
              <w:left w:val="single" w:sz="4" w:space="0" w:color="808080"/>
              <w:bottom w:val="dashed" w:sz="12" w:space="0" w:color="auto"/>
              <w:right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otDotDash" w:sz="4" w:space="0" w:color="FFFFFF"/>
              <w:bottom w:val="dashed" w:sz="12" w:space="0" w:color="auto"/>
              <w:right w:val="dotDotDash" w:sz="4" w:space="0" w:color="FFFFFF"/>
            </w:tcBorders>
          </w:tcPr>
          <w:p w:rsidR="000E7C61" w:rsidRPr="007B242A" w:rsidRDefault="000733AE" w:rsidP="00A517C9">
            <w:pPr>
              <w:rPr>
                <w:sz w:val="18"/>
                <w:szCs w:val="18"/>
              </w:rPr>
            </w:pPr>
            <w:r w:rsidRPr="007B242A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53340</wp:posOffset>
                      </wp:positionV>
                      <wp:extent cx="897890" cy="1411605"/>
                      <wp:effectExtent l="0" t="0" r="0" b="0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7890" cy="1411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E7A60" id="Line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4.2pt" to="119.6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">
                      <v:stroke endarrow="open"/>
                    </v:line>
                  </w:pict>
                </mc:Fallback>
              </mc:AlternateContent>
            </w:r>
          </w:p>
        </w:tc>
      </w:tr>
      <w:tr w:rsidR="000E7C61" w:rsidRPr="007B242A" w:rsidTr="007B242A">
        <w:tc>
          <w:tcPr>
            <w:tcW w:w="2732" w:type="dxa"/>
            <w:tcBorders>
              <w:top w:val="dashed" w:sz="12" w:space="0" w:color="auto"/>
              <w:left w:val="dotDotDash" w:sz="4" w:space="0" w:color="FFFFFF"/>
              <w:bottom w:val="dotDotDash" w:sz="4" w:space="0" w:color="FFFFFF"/>
              <w:right w:val="single" w:sz="4" w:space="0" w:color="808080"/>
            </w:tcBorders>
            <w:shd w:val="thinDiagCross" w:color="auto" w:fill="F3F3F3"/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dashed" w:sz="12" w:space="0" w:color="auto"/>
              <w:left w:val="single" w:sz="4" w:space="0" w:color="808080"/>
              <w:bottom w:val="dotDotDash" w:sz="8" w:space="0" w:color="000000"/>
              <w:right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ed" w:sz="12" w:space="0" w:color="auto"/>
              <w:left w:val="dotDotDash" w:sz="4" w:space="0" w:color="FFFFFF"/>
              <w:bottom w:val="single" w:sz="12" w:space="0" w:color="000000"/>
              <w:right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</w:tr>
      <w:tr w:rsidR="000E7C61" w:rsidRPr="007B242A" w:rsidTr="007B242A">
        <w:tc>
          <w:tcPr>
            <w:tcW w:w="2732" w:type="dxa"/>
            <w:tcBorders>
              <w:top w:val="dotDotDash" w:sz="4" w:space="0" w:color="FFFFFF"/>
              <w:left w:val="dotDotDash" w:sz="4" w:space="0" w:color="FFFFFF"/>
              <w:bottom w:val="single" w:sz="12" w:space="0" w:color="000000"/>
              <w:right w:val="single" w:sz="4" w:space="0" w:color="808080"/>
            </w:tcBorders>
            <w:shd w:val="thinDiagCross" w:color="auto" w:fill="F3F3F3"/>
          </w:tcPr>
          <w:p w:rsidR="000E7C61" w:rsidRPr="007B242A" w:rsidRDefault="000733AE" w:rsidP="00A517C9">
            <w:pPr>
              <w:rPr>
                <w:sz w:val="18"/>
                <w:szCs w:val="18"/>
              </w:rPr>
            </w:pPr>
            <w:r w:rsidRPr="007B242A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23495</wp:posOffset>
                      </wp:positionV>
                      <wp:extent cx="967740" cy="366395"/>
                      <wp:effectExtent l="0" t="0" r="0" b="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7740" cy="366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7C0FA" id="Line 1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1.85pt" to="16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3364" w:type="dxa"/>
            <w:tcBorders>
              <w:top w:val="dotDotDash" w:sz="8" w:space="0" w:color="000000"/>
              <w:left w:val="single" w:sz="4" w:space="0" w:color="808080"/>
              <w:bottom w:val="dotDotDash" w:sz="4" w:space="0" w:color="FFFFFF"/>
              <w:tr2bl w:val="single" w:sz="12" w:space="0" w:color="000000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bottom w:val="dotDotDash" w:sz="4" w:space="0" w:color="FFFFFF"/>
            </w:tcBorders>
          </w:tcPr>
          <w:p w:rsidR="000E7C61" w:rsidRPr="007B242A" w:rsidRDefault="000733AE" w:rsidP="00A517C9">
            <w:pPr>
              <w:rPr>
                <w:sz w:val="18"/>
                <w:szCs w:val="18"/>
              </w:rPr>
            </w:pPr>
            <w:r w:rsidRPr="007B242A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13335</wp:posOffset>
                      </wp:positionV>
                      <wp:extent cx="249555" cy="361950"/>
                      <wp:effectExtent l="0" t="0" r="0" b="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955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D4173" id="Line 1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1.05pt" to="43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">
                      <v:stroke endarrow="open"/>
                    </v:line>
                  </w:pict>
                </mc:Fallback>
              </mc:AlternateContent>
            </w:r>
          </w:p>
        </w:tc>
      </w:tr>
      <w:tr w:rsidR="000E7C61" w:rsidRPr="007B242A" w:rsidTr="007B242A">
        <w:tc>
          <w:tcPr>
            <w:tcW w:w="2732" w:type="dxa"/>
            <w:tcBorders>
              <w:top w:val="single" w:sz="12" w:space="0" w:color="000000"/>
              <w:left w:val="dotDotDash" w:sz="4" w:space="0" w:color="FFFFFF"/>
              <w:bottom w:val="dotDotDash" w:sz="4" w:space="0" w:color="FFFFFF"/>
            </w:tcBorders>
          </w:tcPr>
          <w:p w:rsidR="000E7C61" w:rsidRPr="007B242A" w:rsidRDefault="000E7C61" w:rsidP="00A517C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dotDotDash" w:sz="4" w:space="0" w:color="FFFFFF"/>
            </w:tcBorders>
          </w:tcPr>
          <w:p w:rsidR="000E7C61" w:rsidRPr="007B242A" w:rsidRDefault="000733AE" w:rsidP="00A517C9">
            <w:pPr>
              <w:rPr>
                <w:sz w:val="18"/>
                <w:szCs w:val="18"/>
              </w:rPr>
            </w:pPr>
            <w:r w:rsidRPr="007B242A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2088515" cy="14605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8515" cy="14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6F051" id="Line 1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6.3pt" to="162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</w:tr>
      <w:tr w:rsidR="000E7C61" w:rsidRPr="007B242A" w:rsidTr="007B242A">
        <w:tc>
          <w:tcPr>
            <w:tcW w:w="2732" w:type="dxa"/>
            <w:tcBorders>
              <w:top w:val="single" w:sz="12" w:space="0" w:color="000000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  <w:p w:rsidR="000E7C61" w:rsidRPr="007B242A" w:rsidRDefault="000E7C61" w:rsidP="007B242A">
            <w:pPr>
              <w:jc w:val="center"/>
              <w:rPr>
                <w:sz w:val="18"/>
                <w:szCs w:val="18"/>
              </w:rPr>
            </w:pPr>
            <w:r w:rsidRPr="007B242A">
              <w:rPr>
                <w:sz w:val="18"/>
                <w:szCs w:val="18"/>
              </w:rPr>
              <w:t>Obsolete RRPM’s and</w:t>
            </w:r>
            <w:r w:rsidRPr="007B242A">
              <w:rPr>
                <w:sz w:val="18"/>
                <w:szCs w:val="18"/>
              </w:rPr>
              <w:br/>
              <w:t>edgelines to be removed over transition distance</w:t>
            </w:r>
          </w:p>
        </w:tc>
        <w:tc>
          <w:tcPr>
            <w:tcW w:w="3364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0E7C61" w:rsidRPr="007B242A" w:rsidRDefault="000E7C61" w:rsidP="007B242A">
            <w:pPr>
              <w:jc w:val="center"/>
              <w:rPr>
                <w:sz w:val="18"/>
                <w:szCs w:val="18"/>
              </w:rPr>
            </w:pPr>
            <w:r w:rsidRPr="007B242A">
              <w:rPr>
                <w:sz w:val="18"/>
                <w:szCs w:val="18"/>
              </w:rPr>
              <w:t>Minimum transition</w:t>
            </w:r>
            <w:r w:rsidRPr="007B242A">
              <w:rPr>
                <w:sz w:val="18"/>
                <w:szCs w:val="18"/>
              </w:rPr>
              <w:br/>
              <w:t>treatment distance 24 m</w:t>
            </w:r>
          </w:p>
        </w:tc>
        <w:tc>
          <w:tcPr>
            <w:tcW w:w="297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  <w:p w:rsidR="000E7C61" w:rsidRPr="007B242A" w:rsidRDefault="000E7C61" w:rsidP="00A517C9">
            <w:pPr>
              <w:rPr>
                <w:sz w:val="18"/>
                <w:szCs w:val="18"/>
              </w:rPr>
            </w:pPr>
            <w:r w:rsidRPr="007B242A">
              <w:rPr>
                <w:sz w:val="18"/>
                <w:szCs w:val="18"/>
              </w:rPr>
              <w:tab/>
              <w:t>Edge Lines</w:t>
            </w:r>
          </w:p>
        </w:tc>
      </w:tr>
      <w:tr w:rsidR="000E7C61" w:rsidRPr="007B242A" w:rsidTr="007B242A">
        <w:tc>
          <w:tcPr>
            <w:tcW w:w="2732" w:type="dxa"/>
            <w:tcBorders>
              <w:top w:val="single" w:sz="12" w:space="0" w:color="000000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0E7C61" w:rsidRPr="007B242A" w:rsidRDefault="000E7C61" w:rsidP="007B242A">
            <w:pPr>
              <w:jc w:val="center"/>
              <w:rPr>
                <w:b/>
              </w:rPr>
            </w:pPr>
            <w:r w:rsidRPr="007B242A">
              <w:rPr>
                <w:b/>
              </w:rPr>
              <w:t>Figure 5.16</w:t>
            </w:r>
          </w:p>
          <w:p w:rsidR="000E7C61" w:rsidRPr="007B242A" w:rsidRDefault="000E7C61" w:rsidP="007B242A">
            <w:pPr>
              <w:jc w:val="center"/>
              <w:rPr>
                <w:b/>
              </w:rPr>
            </w:pPr>
            <w:r w:rsidRPr="007B242A">
              <w:rPr>
                <w:b/>
                <w:spacing w:val="-2"/>
              </w:rPr>
              <w:t>Edge line Mismatch Treatment</w:t>
            </w:r>
          </w:p>
          <w:p w:rsidR="000E7C61" w:rsidRPr="007B242A" w:rsidRDefault="000E7C61" w:rsidP="007B2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0E7C61" w:rsidRPr="007B242A" w:rsidRDefault="000E7C61" w:rsidP="00A517C9">
            <w:pPr>
              <w:rPr>
                <w:sz w:val="18"/>
                <w:szCs w:val="18"/>
              </w:rPr>
            </w:pPr>
          </w:p>
        </w:tc>
      </w:tr>
    </w:tbl>
    <w:p w:rsidR="000E7C61" w:rsidRPr="0031648A" w:rsidRDefault="000E7C61" w:rsidP="000E7C61"/>
    <w:p w:rsidR="000E7C61" w:rsidRPr="0031648A" w:rsidRDefault="000E7C61" w:rsidP="00AA415D">
      <w:pPr>
        <w:numPr>
          <w:ilvl w:val="0"/>
          <w:numId w:val="29"/>
        </w:numPr>
        <w:rPr>
          <w:b/>
        </w:rPr>
      </w:pPr>
      <w:r w:rsidRPr="0031648A">
        <w:rPr>
          <w:b/>
          <w:u w:val="single"/>
        </w:rPr>
        <w:t>RAISED PAVEMENT MARKERS</w:t>
      </w:r>
      <w:r w:rsidR="0096742B" w:rsidRPr="0031648A">
        <w:rPr>
          <w:b/>
          <w:u w:val="single"/>
        </w:rPr>
        <w:t xml:space="preserve">  (PCCP Class 25-1)</w:t>
      </w:r>
    </w:p>
    <w:p w:rsidR="000E7C61" w:rsidRPr="0031648A" w:rsidRDefault="000E7C61" w:rsidP="00AA415D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Installation of raised pavement markers </w:t>
      </w:r>
      <w:r w:rsidR="007605D8">
        <w:t>must</w:t>
      </w:r>
      <w:r w:rsidRPr="0031648A">
        <w:t xml:space="preserve"> be in accordance with </w:t>
      </w:r>
      <w:r w:rsidRPr="0031648A">
        <w:rPr>
          <w:snapToGrid w:val="0"/>
        </w:rPr>
        <w:t xml:space="preserve">the </w:t>
      </w:r>
      <w:r w:rsidR="00B97AE6" w:rsidRPr="0031648A">
        <w:rPr>
          <w:snapToGrid w:val="0"/>
        </w:rPr>
        <w:t>DPTI</w:t>
      </w:r>
      <w:r w:rsidRPr="0031648A">
        <w:rPr>
          <w:snapToGrid w:val="0"/>
        </w:rPr>
        <w:t xml:space="preserve"> Pavement Marking Manual </w:t>
      </w:r>
      <w:r w:rsidRPr="0031648A">
        <w:t xml:space="preserve">if there are no drawings applicable.  Markers </w:t>
      </w:r>
      <w:r w:rsidR="007605D8">
        <w:t>must</w:t>
      </w:r>
      <w:r w:rsidRPr="0031648A">
        <w:t xml:space="preserve"> be placed to a tolerance of ± 25 mm.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Adhesive </w:t>
      </w:r>
      <w:r w:rsidR="007605D8">
        <w:t>must</w:t>
      </w:r>
      <w:r w:rsidRPr="0031648A">
        <w:t xml:space="preserve"> be two-part epoxy or hot melt used in accordance with the manufacturer’s instructions and applied evenly over the whole contact surface area of the marker so that a bead of adhesive forms around the perimeter when the marker is pressed onto the road surface during installation.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If removal of raised pavement markers is required, the Contractor </w:t>
      </w:r>
      <w:r w:rsidR="007605D8">
        <w:t>must</w:t>
      </w:r>
      <w:r w:rsidRPr="0031648A">
        <w:t xml:space="preserve"> remove the marker and adhesive in such a way that minimum damage is caused to the road surface.  Any damage to a wearing surface </w:t>
      </w:r>
      <w:r w:rsidR="007605D8">
        <w:t>must</w:t>
      </w:r>
      <w:r w:rsidRPr="0031648A">
        <w:t xml:space="preserve"> be repaired by an approved method.  Markers removed from the road </w:t>
      </w:r>
      <w:r w:rsidR="007605D8">
        <w:t>must</w:t>
      </w:r>
      <w:r w:rsidRPr="0031648A">
        <w:t xml:space="preserve"> be collected and disposed of.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123EBF">
      <w:pPr>
        <w:numPr>
          <w:ilvl w:val="0"/>
          <w:numId w:val="29"/>
        </w:numPr>
        <w:rPr>
          <w:b/>
        </w:rPr>
      </w:pPr>
      <w:r w:rsidRPr="0031648A">
        <w:rPr>
          <w:b/>
          <w:u w:val="single"/>
        </w:rPr>
        <w:t>PAVEMENT BARS</w:t>
      </w:r>
      <w:r w:rsidR="0096742B" w:rsidRPr="0031648A">
        <w:rPr>
          <w:b/>
          <w:u w:val="single"/>
        </w:rPr>
        <w:t xml:space="preserve">  (PCCP Class 25-1)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Installation </w:t>
      </w:r>
      <w:r w:rsidR="007605D8">
        <w:t>must</w:t>
      </w:r>
      <w:r w:rsidRPr="0031648A">
        <w:t xml:space="preserve"> be carried out such that the pavement bars are placed true to the locations indicated on the Drawings.  Bars </w:t>
      </w:r>
      <w:r w:rsidR="007605D8">
        <w:t>must</w:t>
      </w:r>
      <w:r w:rsidRPr="0031648A">
        <w:t xml:space="preserve"> be placed to a tolerance of ± 25 mm. Pavement bars </w:t>
      </w:r>
      <w:r w:rsidR="007605D8">
        <w:t>must</w:t>
      </w:r>
      <w:r w:rsidRPr="0031648A">
        <w:t xml:space="preserve"> be treated with a paint/bead application in one or more coats to achieve the specified paint and glass bead application rates.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jc w:val="left"/>
      </w:pPr>
      <w:r w:rsidRPr="0031648A">
        <w:t xml:space="preserve">Adhesive </w:t>
      </w:r>
      <w:r w:rsidR="007605D8">
        <w:t>must</w:t>
      </w:r>
      <w:r w:rsidRPr="0031648A">
        <w:t xml:space="preserve"> be two part epoxy or hot melt used in accordance with the manufacturer’s instructions and applied evenly over the whole contact surface area of the bar so that a bead of adhesive forms around the perimeter when the bar is pressed onto the road surface during installation.</w:t>
      </w:r>
    </w:p>
    <w:p w:rsidR="000E7C61" w:rsidRPr="0031648A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</w:p>
    <w:p w:rsidR="000E7C61" w:rsidRPr="0031648A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  <w:r w:rsidRPr="0031648A">
        <w:rPr>
          <w:spacing w:val="-2"/>
        </w:rPr>
        <w:t xml:space="preserve">If removal of pavement bars is required, the Contractor </w:t>
      </w:r>
      <w:r w:rsidR="007605D8">
        <w:rPr>
          <w:spacing w:val="-2"/>
        </w:rPr>
        <w:t>must</w:t>
      </w:r>
      <w:r w:rsidRPr="0031648A">
        <w:rPr>
          <w:spacing w:val="-2"/>
        </w:rPr>
        <w:t xml:space="preserve"> remove the bar and adhesive in such a way that minimum damage is caused to the road surface.  Remaining adhesive deposits </w:t>
      </w:r>
      <w:r w:rsidR="007605D8">
        <w:rPr>
          <w:spacing w:val="-2"/>
        </w:rPr>
        <w:t>must</w:t>
      </w:r>
      <w:r w:rsidRPr="0031648A">
        <w:rPr>
          <w:spacing w:val="-2"/>
        </w:rPr>
        <w:t xml:space="preserve"> be removed to surface level to give a textured surface finish.  The bar </w:t>
      </w:r>
      <w:r w:rsidR="007605D8">
        <w:rPr>
          <w:spacing w:val="-2"/>
        </w:rPr>
        <w:t>must</w:t>
      </w:r>
      <w:r w:rsidRPr="0031648A">
        <w:rPr>
          <w:spacing w:val="-2"/>
        </w:rPr>
        <w:t xml:space="preserve"> be disposed of appropriately and any surface damage repaired.  The method of repair </w:t>
      </w:r>
      <w:r w:rsidR="007605D8">
        <w:rPr>
          <w:spacing w:val="-2"/>
        </w:rPr>
        <w:t>must</w:t>
      </w:r>
      <w:r w:rsidRPr="0031648A">
        <w:rPr>
          <w:spacing w:val="-2"/>
        </w:rPr>
        <w:t xml:space="preserve"> be subject to prior approval.</w:t>
      </w:r>
    </w:p>
    <w:p w:rsidR="000E7C61" w:rsidRPr="0031648A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</w:p>
    <w:p w:rsidR="000E7C61" w:rsidRPr="0031648A" w:rsidRDefault="000E7C61" w:rsidP="000E7C61">
      <w:pPr>
        <w:tabs>
          <w:tab w:val="left" w:pos="-720"/>
        </w:tabs>
        <w:suppressAutoHyphens/>
        <w:jc w:val="left"/>
      </w:pPr>
      <w:r w:rsidRPr="0031648A">
        <w:t xml:space="preserve">If maintenance repainting of pavement bars is required, bars </w:t>
      </w:r>
      <w:r w:rsidR="007605D8">
        <w:t>must</w:t>
      </w:r>
      <w:r w:rsidRPr="0031648A">
        <w:t xml:space="preserve"> be treated with a paint/bead application to achieve the specified paint and glass bead application rates.  Precautions </w:t>
      </w:r>
      <w:r w:rsidR="007605D8">
        <w:t>must</w:t>
      </w:r>
      <w:r w:rsidRPr="0031648A">
        <w:t xml:space="preserve"> be taken to avoid "overspray" and damage by traffic whilst drying.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123EBF">
      <w:pPr>
        <w:numPr>
          <w:ilvl w:val="0"/>
          <w:numId w:val="29"/>
        </w:numPr>
        <w:rPr>
          <w:b/>
          <w:u w:val="single"/>
        </w:rPr>
      </w:pPr>
      <w:r w:rsidRPr="0031648A">
        <w:rPr>
          <w:b/>
          <w:u w:val="single"/>
        </w:rPr>
        <w:t>RETROREFLECTIVITY</w:t>
      </w:r>
    </w:p>
    <w:p w:rsidR="000E7C61" w:rsidRPr="0031648A" w:rsidRDefault="000E7C61" w:rsidP="000E7C61">
      <w:pPr>
        <w:jc w:val="left"/>
      </w:pPr>
    </w:p>
    <w:p w:rsidR="000E7C61" w:rsidRPr="0031648A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  <w:r w:rsidRPr="0031648A">
        <w:t xml:space="preserve">The measurement of retroreflectivity, as referenced in TP 950, </w:t>
      </w:r>
      <w:r w:rsidR="007605D8">
        <w:t>must</w:t>
      </w:r>
      <w:r w:rsidRPr="0031648A">
        <w:t xml:space="preserve"> be carried out using a low angle retroreflectometer using 30 metre geometry</w:t>
      </w:r>
      <w:r w:rsidRPr="0031648A">
        <w:rPr>
          <w:spacing w:val="-2"/>
        </w:rPr>
        <w:t xml:space="preserve"> calibrated to a nationally recognised reference standard.  If the retroreflectivity at any test location should fall below the value shown in Table 246.8, the affected area, as defined in TP 950, </w:t>
      </w:r>
      <w:r w:rsidR="007605D8">
        <w:rPr>
          <w:spacing w:val="-2"/>
        </w:rPr>
        <w:t>must</w:t>
      </w:r>
      <w:r w:rsidRPr="0031648A">
        <w:rPr>
          <w:spacing w:val="-2"/>
        </w:rPr>
        <w:t xml:space="preserve"> have the pavement marking re-applied.</w:t>
      </w:r>
    </w:p>
    <w:p w:rsidR="000E7C61" w:rsidRPr="0031648A" w:rsidRDefault="000E7C61" w:rsidP="000E7C61">
      <w:pPr>
        <w:tabs>
          <w:tab w:val="left" w:pos="-720"/>
        </w:tabs>
        <w:suppressAutoHyphens/>
        <w:jc w:val="left"/>
        <w:rPr>
          <w:bCs/>
        </w:rPr>
      </w:pPr>
    </w:p>
    <w:p w:rsidR="000E7C61" w:rsidRPr="0031648A" w:rsidRDefault="000E7C61" w:rsidP="000E7C61">
      <w:pPr>
        <w:tabs>
          <w:tab w:val="left" w:pos="-720"/>
        </w:tabs>
        <w:suppressAutoHyphens/>
        <w:jc w:val="left"/>
        <w:rPr>
          <w:bCs/>
        </w:rPr>
      </w:pPr>
    </w:p>
    <w:tbl>
      <w:tblPr>
        <w:tblW w:w="93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1843"/>
        <w:gridCol w:w="1984"/>
        <w:gridCol w:w="2552"/>
      </w:tblGrid>
      <w:tr w:rsidR="000E7C61" w:rsidRPr="0031648A" w:rsidTr="00A517C9">
        <w:trPr>
          <w:trHeight w:val="20"/>
          <w:tblHeader/>
        </w:trPr>
        <w:tc>
          <w:tcPr>
            <w:tcW w:w="9373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center"/>
              <w:rPr>
                <w:rFonts w:eastAsia="Arial Unicode MS"/>
              </w:rPr>
            </w:pPr>
            <w:r w:rsidRPr="0031648A">
              <w:rPr>
                <w:b/>
              </w:rPr>
              <w:t>TABLE 246.8</w:t>
            </w:r>
            <w:r w:rsidRPr="0031648A">
              <w:rPr>
                <w:b/>
              </w:rPr>
              <w:tab/>
            </w:r>
            <w:r w:rsidRPr="0031648A">
              <w:rPr>
                <w:b/>
              </w:rPr>
              <w:tab/>
            </w:r>
            <w:r w:rsidRPr="0031648A">
              <w:rPr>
                <w:b/>
                <w:bCs/>
                <w:spacing w:val="-2"/>
              </w:rPr>
              <w:t>RETROREFLECTIVITY</w:t>
            </w:r>
          </w:p>
        </w:tc>
      </w:tr>
      <w:tr w:rsidR="000E7C61" w:rsidRPr="0031648A" w:rsidTr="00A517C9">
        <w:trPr>
          <w:trHeight w:val="20"/>
        </w:trPr>
        <w:tc>
          <w:tcPr>
            <w:tcW w:w="9373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rPr>
                <w:b/>
                <w:bCs/>
              </w:rPr>
              <w:t>AADTE* &gt;10 000 vehicles per day</w:t>
            </w:r>
          </w:p>
        </w:tc>
      </w:tr>
      <w:tr w:rsidR="000E7C61" w:rsidRPr="0031648A" w:rsidTr="00A517C9">
        <w:trPr>
          <w:trHeight w:val="20"/>
        </w:trPr>
        <w:tc>
          <w:tcPr>
            <w:tcW w:w="299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Days of Wear</w:t>
            </w:r>
          </w:p>
        </w:tc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10 to 20</w:t>
            </w:r>
          </w:p>
        </w:tc>
        <w:tc>
          <w:tcPr>
            <w:tcW w:w="1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160 to 180</w:t>
            </w:r>
          </w:p>
        </w:tc>
        <w:tc>
          <w:tcPr>
            <w:tcW w:w="25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360 to 380</w:t>
            </w:r>
          </w:p>
        </w:tc>
      </w:tr>
      <w:tr w:rsidR="000E7C61" w:rsidRPr="0031648A" w:rsidTr="00A517C9">
        <w:trPr>
          <w:trHeight w:val="20"/>
        </w:trPr>
        <w:tc>
          <w:tcPr>
            <w:tcW w:w="299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Retroreflectivity, mcd/m</w:t>
            </w:r>
            <w:r w:rsidRPr="0031648A">
              <w:rPr>
                <w:vertAlign w:val="superscript"/>
              </w:rPr>
              <w:t>2</w:t>
            </w:r>
            <w:r w:rsidRPr="0031648A">
              <w:t>/lx</w:t>
            </w:r>
          </w:p>
        </w:tc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240</w:t>
            </w:r>
          </w:p>
        </w:tc>
        <w:tc>
          <w:tcPr>
            <w:tcW w:w="1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165</w:t>
            </w:r>
          </w:p>
        </w:tc>
        <w:tc>
          <w:tcPr>
            <w:tcW w:w="25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No requirement specified</w:t>
            </w:r>
          </w:p>
        </w:tc>
      </w:tr>
      <w:tr w:rsidR="000E7C61" w:rsidRPr="0031648A" w:rsidTr="00A517C9">
        <w:trPr>
          <w:trHeight w:val="20"/>
        </w:trPr>
        <w:tc>
          <w:tcPr>
            <w:tcW w:w="9373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rPr>
                <w:b/>
                <w:bCs/>
              </w:rPr>
              <w:t>AADTE 4 000 to 10 000 vehicles per day</w:t>
            </w:r>
          </w:p>
        </w:tc>
      </w:tr>
      <w:tr w:rsidR="000E7C61" w:rsidRPr="0031648A" w:rsidTr="00A517C9">
        <w:trPr>
          <w:trHeight w:val="20"/>
        </w:trPr>
        <w:tc>
          <w:tcPr>
            <w:tcW w:w="299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Days of Wear</w:t>
            </w:r>
          </w:p>
        </w:tc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10 to 20</w:t>
            </w:r>
          </w:p>
        </w:tc>
        <w:tc>
          <w:tcPr>
            <w:tcW w:w="1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160 to 180</w:t>
            </w:r>
          </w:p>
        </w:tc>
        <w:tc>
          <w:tcPr>
            <w:tcW w:w="25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360 to 380</w:t>
            </w:r>
          </w:p>
        </w:tc>
      </w:tr>
      <w:tr w:rsidR="000E7C61" w:rsidRPr="0031648A" w:rsidTr="00A517C9">
        <w:trPr>
          <w:trHeight w:val="20"/>
        </w:trPr>
        <w:tc>
          <w:tcPr>
            <w:tcW w:w="299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Retroreflectivity, mcd/m</w:t>
            </w:r>
            <w:r w:rsidRPr="0031648A">
              <w:rPr>
                <w:vertAlign w:val="superscript"/>
              </w:rPr>
              <w:t>2</w:t>
            </w:r>
            <w:r w:rsidRPr="0031648A">
              <w:t>/lx</w:t>
            </w:r>
          </w:p>
        </w:tc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240</w:t>
            </w:r>
          </w:p>
        </w:tc>
        <w:tc>
          <w:tcPr>
            <w:tcW w:w="1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175</w:t>
            </w:r>
          </w:p>
        </w:tc>
        <w:tc>
          <w:tcPr>
            <w:tcW w:w="25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No requirement specified</w:t>
            </w:r>
          </w:p>
        </w:tc>
      </w:tr>
      <w:tr w:rsidR="000E7C61" w:rsidRPr="0031648A" w:rsidTr="00A517C9">
        <w:trPr>
          <w:trHeight w:val="20"/>
        </w:trPr>
        <w:tc>
          <w:tcPr>
            <w:tcW w:w="9373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rPr>
                <w:b/>
                <w:bCs/>
              </w:rPr>
              <w:t>AADTE 1 000 to 4 000 vehicles per day</w:t>
            </w:r>
          </w:p>
        </w:tc>
      </w:tr>
      <w:tr w:rsidR="000E7C61" w:rsidRPr="0031648A" w:rsidTr="00A517C9">
        <w:trPr>
          <w:trHeight w:val="20"/>
        </w:trPr>
        <w:tc>
          <w:tcPr>
            <w:tcW w:w="299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Days of Wear</w:t>
            </w:r>
          </w:p>
        </w:tc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10 to 20</w:t>
            </w:r>
          </w:p>
        </w:tc>
        <w:tc>
          <w:tcPr>
            <w:tcW w:w="1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160 to 180</w:t>
            </w:r>
          </w:p>
        </w:tc>
        <w:tc>
          <w:tcPr>
            <w:tcW w:w="25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360 to 380</w:t>
            </w:r>
          </w:p>
        </w:tc>
      </w:tr>
      <w:tr w:rsidR="000E7C61" w:rsidRPr="0031648A" w:rsidTr="00A517C9">
        <w:trPr>
          <w:trHeight w:val="20"/>
        </w:trPr>
        <w:tc>
          <w:tcPr>
            <w:tcW w:w="299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Retroreflectivity, mcd/m</w:t>
            </w:r>
            <w:r w:rsidRPr="0031648A">
              <w:rPr>
                <w:vertAlign w:val="superscript"/>
              </w:rPr>
              <w:t>2</w:t>
            </w:r>
            <w:r w:rsidRPr="0031648A">
              <w:t>/lx</w:t>
            </w:r>
          </w:p>
        </w:tc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240</w:t>
            </w:r>
          </w:p>
        </w:tc>
        <w:tc>
          <w:tcPr>
            <w:tcW w:w="1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220</w:t>
            </w:r>
          </w:p>
        </w:tc>
        <w:tc>
          <w:tcPr>
            <w:tcW w:w="25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No requirement specified</w:t>
            </w:r>
          </w:p>
        </w:tc>
      </w:tr>
      <w:tr w:rsidR="000E7C61" w:rsidRPr="0031648A" w:rsidTr="00A517C9">
        <w:trPr>
          <w:trHeight w:val="20"/>
        </w:trPr>
        <w:tc>
          <w:tcPr>
            <w:tcW w:w="9373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  <w:b/>
                <w:bCs/>
              </w:rPr>
            </w:pPr>
            <w:r w:rsidRPr="0031648A">
              <w:rPr>
                <w:b/>
                <w:bCs/>
              </w:rPr>
              <w:t>AADTE&lt;1 000 vehicles per day</w:t>
            </w:r>
          </w:p>
        </w:tc>
      </w:tr>
      <w:tr w:rsidR="000E7C61" w:rsidRPr="0031648A" w:rsidTr="00A517C9">
        <w:trPr>
          <w:trHeight w:val="20"/>
        </w:trPr>
        <w:tc>
          <w:tcPr>
            <w:tcW w:w="299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Days of Wear</w:t>
            </w:r>
          </w:p>
        </w:tc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10 to 20</w:t>
            </w:r>
          </w:p>
        </w:tc>
        <w:tc>
          <w:tcPr>
            <w:tcW w:w="1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160 to 180</w:t>
            </w:r>
          </w:p>
        </w:tc>
        <w:tc>
          <w:tcPr>
            <w:tcW w:w="25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360 to 380</w:t>
            </w:r>
          </w:p>
        </w:tc>
      </w:tr>
      <w:tr w:rsidR="000E7C61" w:rsidRPr="0031648A" w:rsidTr="00A517C9">
        <w:trPr>
          <w:trHeight w:val="20"/>
        </w:trPr>
        <w:tc>
          <w:tcPr>
            <w:tcW w:w="299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Retroreflectivity, mcd/m</w:t>
            </w:r>
            <w:r w:rsidRPr="0031648A">
              <w:rPr>
                <w:vertAlign w:val="superscript"/>
              </w:rPr>
              <w:t>2</w:t>
            </w:r>
            <w:r w:rsidRPr="0031648A">
              <w:t>/lx</w:t>
            </w:r>
          </w:p>
        </w:tc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265</w:t>
            </w:r>
          </w:p>
        </w:tc>
        <w:tc>
          <w:tcPr>
            <w:tcW w:w="1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235</w:t>
            </w:r>
          </w:p>
        </w:tc>
        <w:tc>
          <w:tcPr>
            <w:tcW w:w="25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7C61" w:rsidRPr="0031648A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31648A">
              <w:t>225</w:t>
            </w:r>
          </w:p>
        </w:tc>
      </w:tr>
    </w:tbl>
    <w:p w:rsidR="000E7C61" w:rsidRPr="0031648A" w:rsidRDefault="000E7C61" w:rsidP="00123EBF">
      <w:pPr>
        <w:jc w:val="left"/>
        <w:rPr>
          <w:bCs/>
        </w:rPr>
      </w:pPr>
      <w:r w:rsidRPr="0031648A">
        <w:rPr>
          <w:bCs/>
        </w:rPr>
        <w:t>* Annual Average Daily Traffic Estimates.</w:t>
      </w:r>
    </w:p>
    <w:p w:rsidR="000E7C61" w:rsidRPr="0031648A" w:rsidRDefault="000E7C61" w:rsidP="00123EBF">
      <w:pPr>
        <w:jc w:val="left"/>
      </w:pPr>
    </w:p>
    <w:p w:rsidR="000E7C61" w:rsidRPr="0031648A" w:rsidRDefault="000E7C61" w:rsidP="00AA415D">
      <w:pPr>
        <w:numPr>
          <w:ilvl w:val="0"/>
          <w:numId w:val="29"/>
        </w:numPr>
        <w:rPr>
          <w:b/>
          <w:u w:val="single"/>
        </w:rPr>
      </w:pPr>
      <w:r w:rsidRPr="0031648A">
        <w:rPr>
          <w:b/>
          <w:u w:val="single"/>
        </w:rPr>
        <w:t>SKID RESISTANCE</w:t>
      </w:r>
    </w:p>
    <w:p w:rsidR="000E7C61" w:rsidRPr="0031648A" w:rsidRDefault="000E7C61" w:rsidP="00AA415D">
      <w:pPr>
        <w:jc w:val="left"/>
      </w:pPr>
    </w:p>
    <w:p w:rsidR="000E7C61" w:rsidRPr="0031648A" w:rsidRDefault="000E7C61" w:rsidP="000E7C61">
      <w:pPr>
        <w:tabs>
          <w:tab w:val="left" w:pos="-720"/>
        </w:tabs>
        <w:suppressAutoHyphens/>
        <w:jc w:val="left"/>
      </w:pPr>
      <w:r w:rsidRPr="0031648A">
        <w:t xml:space="preserve">Skid resistance for transverse marking </w:t>
      </w:r>
      <w:r w:rsidR="007605D8">
        <w:t>must</w:t>
      </w:r>
      <w:r w:rsidRPr="0031648A">
        <w:t xml:space="preserve"> be greater than 45 BPN, until at least the issue of the Final Certificate, when measured in accordance with TP344 or TP345.  If the skid resistance </w:t>
      </w:r>
      <w:r w:rsidRPr="0031648A">
        <w:rPr>
          <w:spacing w:val="-2"/>
        </w:rPr>
        <w:t>is below 45 BPN</w:t>
      </w:r>
      <w:r w:rsidRPr="0031648A">
        <w:t xml:space="preserve"> the Contractor </w:t>
      </w:r>
      <w:r w:rsidR="007605D8">
        <w:t>must</w:t>
      </w:r>
      <w:r w:rsidRPr="0031648A">
        <w:t xml:space="preserve"> re-apply pavement marking to the affected area.</w:t>
      </w:r>
    </w:p>
    <w:p w:rsidR="000E7C61" w:rsidRPr="0031648A" w:rsidRDefault="000E7C61" w:rsidP="000E7C61">
      <w:pPr>
        <w:tabs>
          <w:tab w:val="left" w:pos="-720"/>
        </w:tabs>
        <w:suppressAutoHyphens/>
        <w:jc w:val="left"/>
        <w:rPr>
          <w:spacing w:val="-2"/>
        </w:rPr>
      </w:pPr>
    </w:p>
    <w:p w:rsidR="000E7C61" w:rsidRPr="0031648A" w:rsidRDefault="000E7C61" w:rsidP="00FB0653">
      <w:pPr>
        <w:keepNext/>
        <w:numPr>
          <w:ilvl w:val="0"/>
          <w:numId w:val="29"/>
        </w:numPr>
        <w:rPr>
          <w:b/>
          <w:bCs/>
          <w:u w:val="single"/>
        </w:rPr>
      </w:pPr>
      <w:r w:rsidRPr="0031648A">
        <w:rPr>
          <w:b/>
          <w:bCs/>
          <w:u w:val="single"/>
        </w:rPr>
        <w:t xml:space="preserve">TEST </w:t>
      </w:r>
      <w:r w:rsidRPr="00123EBF">
        <w:rPr>
          <w:b/>
          <w:u w:val="single"/>
        </w:rPr>
        <w:t>PROCEDURES</w:t>
      </w:r>
    </w:p>
    <w:p w:rsidR="000E7C61" w:rsidRPr="0031648A" w:rsidRDefault="000E7C61" w:rsidP="00FB0653">
      <w:pPr>
        <w:keepNext/>
        <w:jc w:val="left"/>
      </w:pPr>
    </w:p>
    <w:p w:rsidR="000E7C61" w:rsidRPr="0031648A" w:rsidRDefault="000E7C61" w:rsidP="000E7C61">
      <w:pPr>
        <w:jc w:val="left"/>
      </w:pPr>
      <w:r w:rsidRPr="0031648A">
        <w:t xml:space="preserve">The Contractor </w:t>
      </w:r>
      <w:r w:rsidR="007605D8">
        <w:t>must</w:t>
      </w:r>
      <w:r w:rsidRPr="0031648A">
        <w:t xml:space="preserve"> use the following test procedures (refer </w:t>
      </w:r>
      <w:hyperlink r:id="rId8" w:history="1">
        <w:r w:rsidRPr="0031648A">
          <w:rPr>
            <w:rStyle w:val="Hyperlink"/>
            <w:color w:val="auto"/>
          </w:rPr>
          <w:t>http://www.dtei.sa.gov.a</w:t>
        </w:r>
        <w:r w:rsidRPr="0031648A">
          <w:rPr>
            <w:rStyle w:val="Hyperlink"/>
            <w:color w:val="auto"/>
          </w:rPr>
          <w:t>u</w:t>
        </w:r>
        <w:r w:rsidRPr="0031648A">
          <w:rPr>
            <w:rStyle w:val="Hyperlink"/>
            <w:color w:val="auto"/>
          </w:rPr>
          <w:t>/dtei_contractor_documents</w:t>
        </w:r>
      </w:hyperlink>
      <w:r w:rsidRPr="0031648A">
        <w:t>) to verify conformance with the Specification:</w:t>
      </w:r>
    </w:p>
    <w:p w:rsidR="000E7C61" w:rsidRPr="0031648A" w:rsidRDefault="000E7C61" w:rsidP="000E7C61">
      <w:pPr>
        <w:jc w:val="left"/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00"/>
        <w:gridCol w:w="2728"/>
      </w:tblGrid>
      <w:tr w:rsidR="000E7C61" w:rsidRPr="0031648A" w:rsidTr="00A517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0" w:type="dxa"/>
            <w:vAlign w:val="center"/>
          </w:tcPr>
          <w:p w:rsidR="000E7C61" w:rsidRPr="0031648A" w:rsidRDefault="000E7C61" w:rsidP="00A517C9">
            <w:pPr>
              <w:spacing w:before="40" w:after="40"/>
              <w:jc w:val="center"/>
              <w:rPr>
                <w:b/>
              </w:rPr>
            </w:pPr>
            <w:r w:rsidRPr="0031648A">
              <w:rPr>
                <w:b/>
              </w:rPr>
              <w:t>TEST</w:t>
            </w:r>
          </w:p>
        </w:tc>
        <w:tc>
          <w:tcPr>
            <w:tcW w:w="2728" w:type="dxa"/>
            <w:vAlign w:val="center"/>
          </w:tcPr>
          <w:p w:rsidR="000E7C61" w:rsidRPr="0031648A" w:rsidRDefault="000E7C61" w:rsidP="00A517C9">
            <w:pPr>
              <w:spacing w:before="40" w:after="40"/>
              <w:jc w:val="center"/>
              <w:rPr>
                <w:b/>
              </w:rPr>
            </w:pPr>
            <w:r w:rsidRPr="0031648A">
              <w:rPr>
                <w:b/>
              </w:rPr>
              <w:t>TEST PROCEDURE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0" w:type="dxa"/>
          </w:tcPr>
          <w:p w:rsidR="000E7C61" w:rsidRPr="0031648A" w:rsidRDefault="000E7C61" w:rsidP="00A517C9">
            <w:pPr>
              <w:pStyle w:val="TenderText"/>
              <w:spacing w:before="40" w:after="40"/>
            </w:pPr>
            <w:r w:rsidRPr="0031648A">
              <w:t>Determination of Skid Resistance with the Grip</w:t>
            </w:r>
            <w:r w:rsidR="0031648A">
              <w:t xml:space="preserve"> </w:t>
            </w:r>
            <w:r w:rsidRPr="0031648A">
              <w:t>Tester</w:t>
            </w:r>
          </w:p>
        </w:tc>
        <w:tc>
          <w:tcPr>
            <w:tcW w:w="2728" w:type="dxa"/>
          </w:tcPr>
          <w:p w:rsidR="000E7C61" w:rsidRPr="0031648A" w:rsidRDefault="000E7C61" w:rsidP="00A517C9">
            <w:pPr>
              <w:pStyle w:val="TenderText"/>
              <w:spacing w:before="40" w:after="40"/>
              <w:jc w:val="center"/>
            </w:pPr>
            <w:r w:rsidRPr="0031648A">
              <w:t>TP344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0" w:type="dxa"/>
          </w:tcPr>
          <w:p w:rsidR="000E7C61" w:rsidRPr="0031648A" w:rsidRDefault="000E7C61" w:rsidP="00A517C9">
            <w:pPr>
              <w:pStyle w:val="TenderText"/>
              <w:spacing w:before="40" w:after="40"/>
            </w:pPr>
            <w:r w:rsidRPr="0031648A">
              <w:t>Operation of a British Pendulum Portable Skid Tester</w:t>
            </w:r>
          </w:p>
        </w:tc>
        <w:tc>
          <w:tcPr>
            <w:tcW w:w="2728" w:type="dxa"/>
          </w:tcPr>
          <w:p w:rsidR="000E7C61" w:rsidRPr="0031648A" w:rsidRDefault="000E7C61" w:rsidP="00A517C9">
            <w:pPr>
              <w:pStyle w:val="TenderText"/>
              <w:spacing w:before="40" w:after="40"/>
              <w:jc w:val="center"/>
            </w:pPr>
            <w:r w:rsidRPr="0031648A">
              <w:t>TP345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0" w:type="dxa"/>
          </w:tcPr>
          <w:p w:rsidR="000E7C61" w:rsidRPr="0031648A" w:rsidRDefault="000E7C61" w:rsidP="00A517C9">
            <w:pPr>
              <w:pStyle w:val="TenderText"/>
              <w:spacing w:before="40" w:after="40"/>
            </w:pPr>
            <w:r w:rsidRPr="0031648A">
              <w:t>Determination of Retroreflectivity of Pavement Markings</w:t>
            </w:r>
          </w:p>
        </w:tc>
        <w:tc>
          <w:tcPr>
            <w:tcW w:w="2728" w:type="dxa"/>
          </w:tcPr>
          <w:p w:rsidR="000E7C61" w:rsidRPr="0031648A" w:rsidRDefault="000E7C61" w:rsidP="00A517C9">
            <w:pPr>
              <w:pStyle w:val="TenderText"/>
              <w:spacing w:before="40" w:after="40"/>
              <w:jc w:val="center"/>
            </w:pPr>
            <w:r w:rsidRPr="0031648A">
              <w:t>TP907</w:t>
            </w:r>
          </w:p>
        </w:tc>
      </w:tr>
    </w:tbl>
    <w:p w:rsidR="000E7C61" w:rsidRDefault="000E7C61" w:rsidP="000E7C61"/>
    <w:p w:rsidR="00FB0653" w:rsidRPr="0031648A" w:rsidRDefault="00FB0653" w:rsidP="000E7C61"/>
    <w:p w:rsidR="000E7C61" w:rsidRPr="00123EBF" w:rsidRDefault="000E7C61" w:rsidP="00123EBF">
      <w:pPr>
        <w:numPr>
          <w:ilvl w:val="0"/>
          <w:numId w:val="29"/>
        </w:numPr>
        <w:rPr>
          <w:b/>
        </w:rPr>
      </w:pPr>
      <w:r w:rsidRPr="00123EBF">
        <w:rPr>
          <w:b/>
          <w:u w:val="single"/>
        </w:rPr>
        <w:t>HOLD POINTS</w:t>
      </w:r>
    </w:p>
    <w:p w:rsidR="000E7C61" w:rsidRPr="0031648A" w:rsidRDefault="000E7C61" w:rsidP="000E7C61"/>
    <w:p w:rsidR="000E7C61" w:rsidRPr="0031648A" w:rsidRDefault="000E7C61" w:rsidP="000E7C61">
      <w:r w:rsidRPr="0031648A">
        <w:t>The following is a summary of Hold Points</w:t>
      </w:r>
      <w:r w:rsidR="00F22E80">
        <w:t xml:space="preserve"> </w:t>
      </w:r>
      <w:r w:rsidRPr="0031648A">
        <w:t>referenced in this Part:</w:t>
      </w:r>
    </w:p>
    <w:p w:rsidR="000E7C61" w:rsidRPr="0031648A" w:rsidRDefault="000E7C61" w:rsidP="000E7C61"/>
    <w:tbl>
      <w:tblPr>
        <w:tblW w:w="9356" w:type="dxa"/>
        <w:tblInd w:w="1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1701"/>
      </w:tblGrid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0E7C61" w:rsidRPr="0031648A" w:rsidRDefault="000E7C61" w:rsidP="00A517C9">
            <w:pPr>
              <w:spacing w:before="40" w:after="40"/>
              <w:jc w:val="center"/>
              <w:rPr>
                <w:b/>
              </w:rPr>
            </w:pPr>
            <w:r w:rsidRPr="0031648A">
              <w:rPr>
                <w:b/>
              </w:rPr>
              <w:t>CLAUSE REF.</w:t>
            </w:r>
          </w:p>
        </w:tc>
        <w:tc>
          <w:tcPr>
            <w:tcW w:w="6521" w:type="dxa"/>
            <w:vAlign w:val="center"/>
          </w:tcPr>
          <w:p w:rsidR="000E7C61" w:rsidRPr="0031648A" w:rsidRDefault="000E7C61" w:rsidP="00A517C9">
            <w:pPr>
              <w:spacing w:before="40" w:after="40"/>
              <w:jc w:val="center"/>
              <w:rPr>
                <w:b/>
              </w:rPr>
            </w:pPr>
            <w:r w:rsidRPr="0031648A">
              <w:rPr>
                <w:b/>
              </w:rPr>
              <w:t>HOLD POINT</w:t>
            </w:r>
          </w:p>
        </w:tc>
        <w:tc>
          <w:tcPr>
            <w:tcW w:w="1701" w:type="dxa"/>
            <w:vAlign w:val="center"/>
          </w:tcPr>
          <w:p w:rsidR="000E7C61" w:rsidRPr="0031648A" w:rsidRDefault="000E7C61" w:rsidP="00A517C9">
            <w:pPr>
              <w:spacing w:before="40" w:after="40"/>
              <w:jc w:val="center"/>
              <w:rPr>
                <w:b/>
              </w:rPr>
            </w:pPr>
            <w:r w:rsidRPr="0031648A">
              <w:rPr>
                <w:b/>
              </w:rPr>
              <w:t>RESPONSE TIME</w:t>
            </w:r>
          </w:p>
        </w:tc>
      </w:tr>
      <w:tr w:rsidR="000E7C61" w:rsidRPr="0031648A" w:rsidTr="00A517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E7C61" w:rsidRPr="0031648A" w:rsidRDefault="000E7C61" w:rsidP="00A517C9">
            <w:pPr>
              <w:pStyle w:val="TenderText"/>
              <w:spacing w:before="60" w:after="60"/>
              <w:jc w:val="center"/>
            </w:pPr>
            <w:r w:rsidRPr="0031648A">
              <w:t>2</w:t>
            </w:r>
          </w:p>
        </w:tc>
        <w:tc>
          <w:tcPr>
            <w:tcW w:w="6521" w:type="dxa"/>
          </w:tcPr>
          <w:p w:rsidR="000E7C61" w:rsidRPr="0031648A" w:rsidRDefault="000E7C61" w:rsidP="00A517C9">
            <w:pPr>
              <w:pStyle w:val="TenderText"/>
              <w:spacing w:before="60" w:after="60"/>
              <w:jc w:val="left"/>
            </w:pPr>
            <w:r w:rsidRPr="0031648A">
              <w:t>Submission of Procedures (if not submitted beforehand)</w:t>
            </w:r>
          </w:p>
        </w:tc>
        <w:tc>
          <w:tcPr>
            <w:tcW w:w="1701" w:type="dxa"/>
          </w:tcPr>
          <w:p w:rsidR="000E7C61" w:rsidRPr="0031648A" w:rsidRDefault="000E7C61" w:rsidP="00A517C9">
            <w:pPr>
              <w:pStyle w:val="TenderText"/>
              <w:spacing w:before="60" w:after="60"/>
              <w:jc w:val="center"/>
            </w:pPr>
            <w:r w:rsidRPr="0031648A">
              <w:t>7 days</w:t>
            </w:r>
          </w:p>
        </w:tc>
      </w:tr>
      <w:tr w:rsidR="000E7C61" w:rsidRPr="00755DF1" w:rsidTr="00A517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E7C61" w:rsidRPr="00755DF1" w:rsidRDefault="000E7C61" w:rsidP="00A517C9">
            <w:pPr>
              <w:spacing w:before="60" w:after="60"/>
              <w:jc w:val="center"/>
            </w:pPr>
            <w:r w:rsidRPr="00755DF1">
              <w:t>5.3</w:t>
            </w:r>
          </w:p>
        </w:tc>
        <w:tc>
          <w:tcPr>
            <w:tcW w:w="6521" w:type="dxa"/>
          </w:tcPr>
          <w:p w:rsidR="000E7C61" w:rsidRPr="00755DF1" w:rsidRDefault="000E7C61" w:rsidP="00A517C9">
            <w:pPr>
              <w:spacing w:before="60" w:after="60"/>
              <w:jc w:val="left"/>
            </w:pPr>
            <w:r w:rsidRPr="00755DF1">
              <w:t>Following spotting and prior to application of pavement marking paint</w:t>
            </w:r>
          </w:p>
        </w:tc>
        <w:tc>
          <w:tcPr>
            <w:tcW w:w="1701" w:type="dxa"/>
          </w:tcPr>
          <w:p w:rsidR="000E7C61" w:rsidRPr="00755DF1" w:rsidRDefault="000E7C61" w:rsidP="00A517C9">
            <w:pPr>
              <w:spacing w:before="60" w:after="60"/>
              <w:jc w:val="center"/>
            </w:pPr>
            <w:r w:rsidRPr="00755DF1">
              <w:t>1 working day</w:t>
            </w:r>
          </w:p>
        </w:tc>
      </w:tr>
    </w:tbl>
    <w:p w:rsidR="000E7C61" w:rsidRDefault="000E7C61" w:rsidP="000E7C61"/>
    <w:p w:rsidR="00FB0653" w:rsidRPr="00755DF1" w:rsidRDefault="00FB0653" w:rsidP="000E7C61"/>
    <w:p w:rsidR="000E7C61" w:rsidRPr="00755DF1" w:rsidRDefault="000E7C61" w:rsidP="00123EBF">
      <w:pPr>
        <w:numPr>
          <w:ilvl w:val="0"/>
          <w:numId w:val="29"/>
        </w:numPr>
        <w:rPr>
          <w:b/>
          <w:bCs/>
        </w:rPr>
      </w:pPr>
      <w:r w:rsidRPr="00123EBF">
        <w:rPr>
          <w:b/>
          <w:u w:val="single"/>
        </w:rPr>
        <w:t>VERIFICATION</w:t>
      </w:r>
      <w:r w:rsidRPr="00755DF1">
        <w:rPr>
          <w:b/>
          <w:bCs/>
          <w:u w:val="single"/>
        </w:rPr>
        <w:t xml:space="preserve"> REQUIREMENTS AND RECORDS</w:t>
      </w:r>
    </w:p>
    <w:p w:rsidR="000E7C61" w:rsidRPr="00755DF1" w:rsidRDefault="000E7C61" w:rsidP="000E7C61"/>
    <w:p w:rsidR="000E7C61" w:rsidRPr="00755DF1" w:rsidRDefault="000E7C61" w:rsidP="00C22750">
      <w:pPr>
        <w:numPr>
          <w:ilvl w:val="1"/>
          <w:numId w:val="29"/>
        </w:numPr>
        <w:rPr>
          <w:b/>
          <w:bCs/>
        </w:rPr>
      </w:pPr>
      <w:r w:rsidRPr="00755DF1">
        <w:rPr>
          <w:b/>
          <w:bCs/>
          <w:u w:val="single"/>
        </w:rPr>
        <w:t>Test Records</w:t>
      </w:r>
    </w:p>
    <w:p w:rsidR="000E7C61" w:rsidRPr="00755DF1" w:rsidRDefault="000E7C61" w:rsidP="000E7C61"/>
    <w:p w:rsidR="000E7C61" w:rsidRPr="00755DF1" w:rsidRDefault="000E7C61" w:rsidP="000E7C61">
      <w:r w:rsidRPr="00755DF1">
        <w:t xml:space="preserve">The Contractor </w:t>
      </w:r>
      <w:r w:rsidR="007605D8">
        <w:t>must</w:t>
      </w:r>
      <w:r w:rsidRPr="00755DF1">
        <w:t xml:space="preserve"> undertake the testing specified in this Clause and supply written evidence of compliance with the lot package.</w:t>
      </w:r>
    </w:p>
    <w:p w:rsidR="000E7C61" w:rsidRPr="00755DF1" w:rsidRDefault="000E7C61" w:rsidP="000E7C61"/>
    <w:tbl>
      <w:tblPr>
        <w:tblW w:w="93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1502"/>
        <w:gridCol w:w="1843"/>
        <w:gridCol w:w="1701"/>
        <w:gridCol w:w="1559"/>
        <w:gridCol w:w="1843"/>
      </w:tblGrid>
      <w:tr w:rsidR="000E7C61" w:rsidRPr="00755DF1" w:rsidTr="00A517C9">
        <w:trPr>
          <w:trHeight w:val="480"/>
        </w:trPr>
        <w:tc>
          <w:tcPr>
            <w:tcW w:w="92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755DF1" w:rsidRDefault="000E7C61" w:rsidP="00A517C9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755DF1">
              <w:rPr>
                <w:b/>
                <w:bCs/>
              </w:rPr>
              <w:t>CLAUSE REF.</w:t>
            </w:r>
          </w:p>
        </w:tc>
        <w:tc>
          <w:tcPr>
            <w:tcW w:w="1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755DF1" w:rsidRDefault="000E7C61" w:rsidP="00A517C9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755DF1">
              <w:rPr>
                <w:b/>
                <w:bCs/>
              </w:rPr>
              <w:t>SUBJECT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755DF1" w:rsidRDefault="000E7C61" w:rsidP="00A517C9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755DF1">
              <w:rPr>
                <w:b/>
                <w:bCs/>
              </w:rPr>
              <w:t>PROPERTY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755DF1" w:rsidRDefault="000E7C61" w:rsidP="00A517C9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755DF1">
              <w:rPr>
                <w:b/>
                <w:bCs/>
              </w:rPr>
              <w:t>PROCEDURE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755DF1" w:rsidRDefault="000E7C61" w:rsidP="00A517C9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755DF1">
              <w:rPr>
                <w:b/>
                <w:bCs/>
              </w:rPr>
              <w:t>FREQUENCY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C61" w:rsidRPr="00755DF1" w:rsidRDefault="000E7C61" w:rsidP="00A517C9">
            <w:pPr>
              <w:spacing w:before="60" w:after="60"/>
              <w:jc w:val="center"/>
              <w:rPr>
                <w:rFonts w:eastAsia="Arial Unicode MS"/>
                <w:b/>
                <w:bCs/>
              </w:rPr>
            </w:pPr>
            <w:r w:rsidRPr="00755DF1">
              <w:rPr>
                <w:b/>
                <w:bCs/>
              </w:rPr>
              <w:t>ACCEPTANCE LIMITS</w:t>
            </w:r>
          </w:p>
        </w:tc>
      </w:tr>
      <w:tr w:rsidR="000E7C61" w:rsidRPr="00755DF1" w:rsidTr="00A517C9">
        <w:trPr>
          <w:trHeight w:val="765"/>
        </w:trPr>
        <w:tc>
          <w:tcPr>
            <w:tcW w:w="9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C61" w:rsidRPr="00755DF1" w:rsidRDefault="000E7C61" w:rsidP="00A517C9">
            <w:pPr>
              <w:spacing w:before="60" w:after="60"/>
              <w:jc w:val="center"/>
              <w:rPr>
                <w:rFonts w:eastAsia="Arial Unicode MS"/>
              </w:rPr>
            </w:pPr>
            <w:r w:rsidRPr="00755DF1">
              <w:t>5.1</w:t>
            </w:r>
          </w:p>
        </w:tc>
        <w:tc>
          <w:tcPr>
            <w:tcW w:w="150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C61" w:rsidRPr="00755DF1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755DF1">
              <w:t>Application conditions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C61" w:rsidRPr="00755DF1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755DF1">
              <w:t>Measurement of temperature and relative humidity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C61" w:rsidRPr="00755DF1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755DF1">
              <w:t>Contractor to provide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C61" w:rsidRPr="00755DF1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755DF1">
              <w:t>Every work session.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C61" w:rsidRPr="00755DF1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755DF1">
              <w:t>Air temperature &gt; 10°C.  Relative humidity &lt; 85%.</w:t>
            </w:r>
          </w:p>
        </w:tc>
      </w:tr>
      <w:tr w:rsidR="000E7C61" w:rsidRPr="00755DF1" w:rsidTr="00A517C9">
        <w:trPr>
          <w:trHeight w:val="765"/>
        </w:trPr>
        <w:tc>
          <w:tcPr>
            <w:tcW w:w="9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C61" w:rsidRPr="00755DF1" w:rsidRDefault="000E7C61" w:rsidP="00A517C9">
            <w:pPr>
              <w:spacing w:before="60" w:after="60"/>
              <w:jc w:val="center"/>
              <w:rPr>
                <w:rFonts w:eastAsia="Arial Unicode MS"/>
              </w:rPr>
            </w:pPr>
            <w:r w:rsidRPr="00755DF1">
              <w:t>5.13</w:t>
            </w:r>
          </w:p>
        </w:tc>
        <w:tc>
          <w:tcPr>
            <w:tcW w:w="150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C61" w:rsidRPr="00755DF1" w:rsidRDefault="000E7C61" w:rsidP="00A517C9">
            <w:pPr>
              <w:spacing w:before="60" w:after="60"/>
              <w:jc w:val="left"/>
              <w:rPr>
                <w:rFonts w:eastAsia="Arial Unicode MS"/>
              </w:rPr>
            </w:pPr>
            <w:r w:rsidRPr="00755DF1">
              <w:t>All pavement marking applications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C61" w:rsidRPr="00755DF1" w:rsidRDefault="000E7C61" w:rsidP="00A517C9">
            <w:pPr>
              <w:spacing w:before="60" w:after="60"/>
              <w:jc w:val="left"/>
            </w:pPr>
            <w:r w:rsidRPr="00755DF1">
              <w:t>Material application rate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C61" w:rsidRPr="00755DF1" w:rsidRDefault="000E7C61" w:rsidP="00A517C9">
            <w:pPr>
              <w:spacing w:before="60" w:after="60"/>
              <w:jc w:val="left"/>
            </w:pPr>
            <w:r w:rsidRPr="00755DF1">
              <w:t>Contractor to provide evidence through materials consumption and area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C61" w:rsidRPr="00755DF1" w:rsidRDefault="000E7C61" w:rsidP="00A517C9">
            <w:pPr>
              <w:spacing w:before="60" w:after="60"/>
              <w:jc w:val="left"/>
            </w:pPr>
            <w:r w:rsidRPr="00755DF1">
              <w:t>Every work session.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C61" w:rsidRPr="00755DF1" w:rsidRDefault="000E7C61" w:rsidP="00A517C9">
            <w:pPr>
              <w:spacing w:before="60" w:after="60"/>
              <w:jc w:val="left"/>
            </w:pPr>
            <w:r w:rsidRPr="00755DF1">
              <w:t>As per Table 5.13</w:t>
            </w:r>
          </w:p>
        </w:tc>
      </w:tr>
    </w:tbl>
    <w:p w:rsidR="000E7C61" w:rsidRPr="00755DF1" w:rsidRDefault="000E7C61" w:rsidP="000E7C61"/>
    <w:p w:rsidR="000E7C61" w:rsidRPr="00755DF1" w:rsidRDefault="000E7C61" w:rsidP="00C22750">
      <w:pPr>
        <w:numPr>
          <w:ilvl w:val="1"/>
          <w:numId w:val="29"/>
        </w:numPr>
        <w:rPr>
          <w:b/>
          <w:bCs/>
        </w:rPr>
      </w:pPr>
      <w:r w:rsidRPr="00755DF1">
        <w:rPr>
          <w:b/>
          <w:bCs/>
          <w:u w:val="single"/>
        </w:rPr>
        <w:t>Other Records</w:t>
      </w:r>
    </w:p>
    <w:p w:rsidR="000E7C61" w:rsidRPr="00755DF1" w:rsidRDefault="000E7C61" w:rsidP="000E7C61"/>
    <w:p w:rsidR="000E7C61" w:rsidRPr="00755DF1" w:rsidRDefault="000E7C61" w:rsidP="000E7C61">
      <w:r w:rsidRPr="00755DF1">
        <w:t xml:space="preserve">The Contractor </w:t>
      </w:r>
      <w:r w:rsidR="007605D8">
        <w:t>must</w:t>
      </w:r>
      <w:r w:rsidRPr="00755DF1">
        <w:t xml:space="preserve"> supply the following records:</w:t>
      </w:r>
    </w:p>
    <w:p w:rsidR="000E7C61" w:rsidRPr="00755DF1" w:rsidRDefault="000E7C61" w:rsidP="000E7C61"/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5812"/>
      </w:tblGrid>
      <w:tr w:rsidR="000E7C61" w:rsidRPr="00755DF1" w:rsidTr="00A517C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Align w:val="center"/>
          </w:tcPr>
          <w:p w:rsidR="000E7C61" w:rsidRPr="00755DF1" w:rsidRDefault="000E7C61" w:rsidP="00A517C9">
            <w:pPr>
              <w:spacing w:before="120" w:after="120"/>
              <w:jc w:val="center"/>
              <w:rPr>
                <w:b/>
                <w:bCs/>
              </w:rPr>
            </w:pPr>
            <w:r w:rsidRPr="00755DF1">
              <w:rPr>
                <w:b/>
                <w:bCs/>
              </w:rPr>
              <w:t>CLAUSE REF.</w:t>
            </w:r>
          </w:p>
        </w:tc>
        <w:tc>
          <w:tcPr>
            <w:tcW w:w="2410" w:type="dxa"/>
            <w:vAlign w:val="center"/>
          </w:tcPr>
          <w:p w:rsidR="000E7C61" w:rsidRPr="00755DF1" w:rsidRDefault="000E7C61" w:rsidP="00A517C9">
            <w:pPr>
              <w:spacing w:before="120" w:after="120"/>
              <w:jc w:val="center"/>
              <w:rPr>
                <w:b/>
                <w:bCs/>
              </w:rPr>
            </w:pPr>
            <w:r w:rsidRPr="00755DF1">
              <w:rPr>
                <w:b/>
                <w:bCs/>
              </w:rPr>
              <w:t>SUBJECT</w:t>
            </w:r>
          </w:p>
        </w:tc>
        <w:tc>
          <w:tcPr>
            <w:tcW w:w="5812" w:type="dxa"/>
            <w:vAlign w:val="center"/>
          </w:tcPr>
          <w:p w:rsidR="000E7C61" w:rsidRPr="00755DF1" w:rsidRDefault="000E7C61" w:rsidP="00A517C9">
            <w:pPr>
              <w:spacing w:before="120" w:after="120"/>
              <w:jc w:val="center"/>
              <w:rPr>
                <w:b/>
                <w:bCs/>
              </w:rPr>
            </w:pPr>
            <w:r w:rsidRPr="00755DF1">
              <w:rPr>
                <w:b/>
                <w:bCs/>
              </w:rPr>
              <w:t>RECORD TO BE PROVIDED</w:t>
            </w:r>
          </w:p>
        </w:tc>
      </w:tr>
      <w:tr w:rsidR="000E7C61" w:rsidRPr="00755DF1" w:rsidTr="00A517C9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0E7C61" w:rsidRPr="00755DF1" w:rsidRDefault="000E7C61" w:rsidP="00A517C9">
            <w:pPr>
              <w:spacing w:before="120" w:after="120"/>
              <w:jc w:val="center"/>
            </w:pPr>
            <w:r w:rsidRPr="00755DF1">
              <w:t>5.4</w:t>
            </w:r>
          </w:p>
        </w:tc>
        <w:tc>
          <w:tcPr>
            <w:tcW w:w="2410" w:type="dxa"/>
            <w:vAlign w:val="center"/>
          </w:tcPr>
          <w:p w:rsidR="000E7C61" w:rsidRPr="00755DF1" w:rsidRDefault="000E7C61" w:rsidP="00A517C9">
            <w:pPr>
              <w:spacing w:before="120" w:after="120"/>
              <w:jc w:val="left"/>
            </w:pPr>
            <w:r w:rsidRPr="00755DF1">
              <w:t>Regulatory lines</w:t>
            </w:r>
          </w:p>
        </w:tc>
        <w:tc>
          <w:tcPr>
            <w:tcW w:w="5812" w:type="dxa"/>
            <w:vAlign w:val="center"/>
          </w:tcPr>
          <w:p w:rsidR="000E7C61" w:rsidRPr="00755DF1" w:rsidRDefault="000E7C61" w:rsidP="00A517C9">
            <w:pPr>
              <w:spacing w:before="120" w:after="120"/>
              <w:jc w:val="left"/>
            </w:pPr>
            <w:r w:rsidRPr="00755DF1">
              <w:t>Time and date of installation of regulatory lines</w:t>
            </w:r>
          </w:p>
        </w:tc>
      </w:tr>
      <w:tr w:rsidR="000E7C61" w:rsidRPr="00755DF1" w:rsidTr="00A517C9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0E7C61" w:rsidRPr="00755DF1" w:rsidRDefault="000E7C61" w:rsidP="00F22E80">
            <w:pPr>
              <w:spacing w:before="120" w:after="120"/>
              <w:jc w:val="center"/>
            </w:pPr>
            <w:r w:rsidRPr="00755DF1">
              <w:t>Refer Part </w:t>
            </w:r>
            <w:r w:rsidR="00F22E80">
              <w:t>R</w:t>
            </w:r>
            <w:r w:rsidRPr="00755DF1">
              <w:t>45</w:t>
            </w:r>
          </w:p>
        </w:tc>
        <w:tc>
          <w:tcPr>
            <w:tcW w:w="2410" w:type="dxa"/>
            <w:vAlign w:val="center"/>
          </w:tcPr>
          <w:p w:rsidR="000E7C61" w:rsidRPr="00755DF1" w:rsidRDefault="000E7C61" w:rsidP="00A517C9">
            <w:pPr>
              <w:spacing w:before="120" w:after="120"/>
              <w:jc w:val="left"/>
            </w:pPr>
            <w:r w:rsidRPr="00755DF1">
              <w:t>Materials</w:t>
            </w:r>
          </w:p>
        </w:tc>
        <w:tc>
          <w:tcPr>
            <w:tcW w:w="5812" w:type="dxa"/>
            <w:vAlign w:val="center"/>
          </w:tcPr>
          <w:p w:rsidR="000E7C61" w:rsidRPr="00755DF1" w:rsidRDefault="000E7C61" w:rsidP="00F22E80">
            <w:pPr>
              <w:spacing w:before="120" w:after="120"/>
              <w:jc w:val="left"/>
            </w:pPr>
            <w:r w:rsidRPr="00755DF1">
              <w:t>Records referred to in Clause </w:t>
            </w:r>
            <w:r w:rsidR="00F22E80">
              <w:t>R</w:t>
            </w:r>
            <w:r w:rsidRPr="00755DF1">
              <w:t>45.13</w:t>
            </w:r>
          </w:p>
        </w:tc>
      </w:tr>
    </w:tbl>
    <w:p w:rsidR="000E7C61" w:rsidRDefault="000E7C61" w:rsidP="000E7C61"/>
    <w:p w:rsidR="00123EBF" w:rsidRPr="00755DF1" w:rsidRDefault="00123EBF" w:rsidP="000E7C61"/>
    <w:p w:rsidR="000E7C61" w:rsidRPr="00755DF1" w:rsidRDefault="000E7C61" w:rsidP="00AA415D">
      <w:pPr>
        <w:numPr>
          <w:ilvl w:val="0"/>
          <w:numId w:val="29"/>
        </w:numPr>
        <w:rPr>
          <w:b/>
          <w:u w:val="single"/>
        </w:rPr>
      </w:pPr>
      <w:r w:rsidRPr="00755DF1">
        <w:rPr>
          <w:b/>
          <w:u w:val="single"/>
        </w:rPr>
        <w:t>MEASUREMENT</w:t>
      </w:r>
    </w:p>
    <w:p w:rsidR="000E7C61" w:rsidRPr="00755DF1" w:rsidRDefault="000E7C61" w:rsidP="00AA415D"/>
    <w:p w:rsidR="000E7C61" w:rsidRPr="00755DF1" w:rsidRDefault="000E7C61" w:rsidP="000E7C61">
      <w:pPr>
        <w:jc w:val="left"/>
      </w:pPr>
      <w:r w:rsidRPr="00755DF1">
        <w:t xml:space="preserve">A line pattern will be measured as </w:t>
      </w:r>
      <w:r w:rsidR="00E34A21" w:rsidRPr="00755DF1">
        <w:t xml:space="preserve">though it is a </w:t>
      </w:r>
      <w:r w:rsidRPr="00755DF1">
        <w:t>continuous line (i.e. the measurement will be the sum of the painted and unpainted dimensions).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>A Barrier Line will be measured as though it is a single line.</w:t>
      </w:r>
    </w:p>
    <w:p w:rsidR="000E7C61" w:rsidRPr="00755DF1" w:rsidRDefault="000E7C61" w:rsidP="000E7C61">
      <w:pPr>
        <w:jc w:val="left"/>
      </w:pPr>
    </w:p>
    <w:p w:rsidR="000E7C61" w:rsidRPr="00755DF1" w:rsidRDefault="000E7C61" w:rsidP="000E7C61">
      <w:pPr>
        <w:jc w:val="left"/>
      </w:pPr>
      <w:r w:rsidRPr="00755DF1">
        <w:t>Pavement marking which involves a 2</w:t>
      </w:r>
      <w:r w:rsidRPr="00755DF1">
        <w:noBreakHyphen/>
        <w:t>coat paint system will be measured as though it is a single coat (i.e. the quantity shown in any schedule is the actual measurement of the marking on the pavement surface).</w:t>
      </w:r>
    </w:p>
    <w:p w:rsidR="000E7C61" w:rsidRPr="00755DF1" w:rsidRDefault="000E7C61" w:rsidP="000E7C61"/>
    <w:p w:rsidR="000E7C61" w:rsidRPr="00755DF1" w:rsidRDefault="000E7C61" w:rsidP="000E7C61"/>
    <w:p w:rsidR="000E7C61" w:rsidRPr="00755DF1" w:rsidRDefault="000E7C61" w:rsidP="000E7C61"/>
    <w:p w:rsidR="000E7C61" w:rsidRPr="00755DF1" w:rsidRDefault="000E7C61" w:rsidP="000E7C61">
      <w:pPr>
        <w:jc w:val="center"/>
      </w:pPr>
      <w:r w:rsidRPr="00755DF1">
        <w:t>____________</w:t>
      </w:r>
    </w:p>
    <w:p w:rsidR="000E7C61" w:rsidRPr="00755DF1" w:rsidRDefault="000E7C61" w:rsidP="000E7C61"/>
    <w:p w:rsidR="000E7C61" w:rsidRPr="00755DF1" w:rsidRDefault="000E7C61" w:rsidP="000E7C61"/>
    <w:p w:rsidR="000E7C61" w:rsidRPr="00755DF1" w:rsidRDefault="000E7C61" w:rsidP="000E7C61">
      <w:pPr>
        <w:sectPr w:rsidR="000E7C61" w:rsidRPr="00755DF1">
          <w:headerReference w:type="default" r:id="rId9"/>
          <w:footerReference w:type="default" r:id="rId10"/>
          <w:pgSz w:w="11907" w:h="16840" w:code="9"/>
          <w:pgMar w:top="851" w:right="851" w:bottom="567" w:left="1701" w:header="851" w:footer="567" w:gutter="0"/>
          <w:cols w:space="720"/>
        </w:sectPr>
      </w:pPr>
    </w:p>
    <w:p w:rsidR="00BB1F18" w:rsidRPr="000E7C61" w:rsidRDefault="00BB1F18" w:rsidP="000E7C61"/>
    <w:p w:rsidR="00B74F34" w:rsidRPr="000E7C61" w:rsidRDefault="00B74F34"/>
    <w:sectPr w:rsidR="00B74F34" w:rsidRPr="000E7C61">
      <w:headerReference w:type="default" r:id="rId11"/>
      <w:pgSz w:w="11907" w:h="16840" w:code="9"/>
      <w:pgMar w:top="851" w:right="851" w:bottom="567" w:left="170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47" w:rsidRDefault="00173847">
      <w:r>
        <w:separator/>
      </w:r>
    </w:p>
  </w:endnote>
  <w:endnote w:type="continuationSeparator" w:id="0">
    <w:p w:rsidR="00173847" w:rsidRDefault="0017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FC" w:rsidRPr="006558D4" w:rsidRDefault="00BC1FFC" w:rsidP="006558D4">
    <w:pPr>
      <w:pStyle w:val="Footer"/>
      <w:tabs>
        <w:tab w:val="clear" w:pos="4153"/>
        <w:tab w:val="clear" w:pos="8306"/>
        <w:tab w:val="right" w:pos="9356"/>
      </w:tabs>
      <w:rPr>
        <w:sz w:val="18"/>
        <w:szCs w:val="18"/>
      </w:rPr>
    </w:pPr>
  </w:p>
  <w:p w:rsidR="00BC1FFC" w:rsidRDefault="00BC1FFC" w:rsidP="00CF769F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Style w:val="PageNumber"/>
        <w:sz w:val="18"/>
        <w:szCs w:val="18"/>
      </w:rPr>
    </w:pPr>
    <w:r>
      <w:rPr>
        <w:sz w:val="18"/>
        <w:szCs w:val="18"/>
      </w:rPr>
      <w:t xml:space="preserve">DPTI </w:t>
    </w:r>
    <w:r w:rsidRPr="006558D4">
      <w:rPr>
        <w:sz w:val="18"/>
        <w:szCs w:val="18"/>
      </w:rPr>
      <w:t>XXCxxx</w:t>
    </w:r>
    <w:r w:rsidRPr="006558D4">
      <w:rPr>
        <w:sz w:val="18"/>
        <w:szCs w:val="18"/>
      </w:rPr>
      <w:tab/>
      <w:t xml:space="preserve">Page </w:t>
    </w:r>
    <w:r w:rsidRPr="006558D4">
      <w:rPr>
        <w:rStyle w:val="PageNumber"/>
        <w:sz w:val="18"/>
        <w:szCs w:val="18"/>
      </w:rPr>
      <w:fldChar w:fldCharType="begin"/>
    </w:r>
    <w:r w:rsidRPr="006558D4">
      <w:rPr>
        <w:rStyle w:val="PageNumber"/>
        <w:sz w:val="18"/>
        <w:szCs w:val="18"/>
      </w:rPr>
      <w:instrText xml:space="preserve"> PAGE </w:instrText>
    </w:r>
    <w:r w:rsidRPr="006558D4">
      <w:rPr>
        <w:rStyle w:val="PageNumber"/>
        <w:sz w:val="18"/>
        <w:szCs w:val="18"/>
      </w:rPr>
      <w:fldChar w:fldCharType="separate"/>
    </w:r>
    <w:r w:rsidR="000733AE">
      <w:rPr>
        <w:rStyle w:val="PageNumber"/>
        <w:noProof/>
        <w:sz w:val="18"/>
        <w:szCs w:val="18"/>
      </w:rPr>
      <w:t>12</w:t>
    </w:r>
    <w:r w:rsidRPr="006558D4">
      <w:rPr>
        <w:rStyle w:val="PageNumber"/>
        <w:sz w:val="18"/>
        <w:szCs w:val="18"/>
      </w:rPr>
      <w:fldChar w:fldCharType="end"/>
    </w:r>
  </w:p>
  <w:p w:rsidR="00C51E3E" w:rsidRPr="006558D4" w:rsidRDefault="00C51E3E" w:rsidP="00CF769F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sz w:val="18"/>
        <w:szCs w:val="18"/>
      </w:rPr>
    </w:pPr>
    <w:r>
      <w:rPr>
        <w:rStyle w:val="PageNumber"/>
        <w:sz w:val="18"/>
        <w:szCs w:val="18"/>
      </w:rPr>
      <w:t>Revision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47" w:rsidRDefault="00173847">
      <w:r>
        <w:separator/>
      </w:r>
    </w:p>
  </w:footnote>
  <w:footnote w:type="continuationSeparator" w:id="0">
    <w:p w:rsidR="00173847" w:rsidRDefault="0017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FC" w:rsidRPr="007B74D7" w:rsidRDefault="00BC1FFC">
    <w:pPr>
      <w:pStyle w:val="Header"/>
      <w:tabs>
        <w:tab w:val="clear" w:pos="4153"/>
        <w:tab w:val="clear" w:pos="8306"/>
        <w:tab w:val="right" w:pos="9356"/>
      </w:tabs>
      <w:rPr>
        <w:sz w:val="18"/>
        <w:szCs w:val="18"/>
      </w:rPr>
    </w:pPr>
    <w:r w:rsidRPr="007B74D7">
      <w:rPr>
        <w:sz w:val="18"/>
        <w:szCs w:val="18"/>
      </w:rPr>
      <w:t>Edition:</w:t>
    </w:r>
    <w:r>
      <w:rPr>
        <w:sz w:val="18"/>
        <w:szCs w:val="18"/>
      </w:rPr>
      <w:t xml:space="preserve"> July 2014</w:t>
    </w:r>
    <w:r w:rsidRPr="007B74D7">
      <w:rPr>
        <w:sz w:val="18"/>
        <w:szCs w:val="18"/>
      </w:rPr>
      <w:tab/>
      <w:t>Specification</w:t>
    </w:r>
    <w:r>
      <w:rPr>
        <w:sz w:val="18"/>
        <w:szCs w:val="18"/>
      </w:rPr>
      <w:t xml:space="preserve">: </w:t>
    </w:r>
    <w:r w:rsidRPr="007B74D7">
      <w:rPr>
        <w:sz w:val="18"/>
        <w:szCs w:val="18"/>
      </w:rPr>
      <w:t xml:space="preserve">Part </w:t>
    </w:r>
    <w:r w:rsidR="00F22E80">
      <w:rPr>
        <w:sz w:val="18"/>
        <w:szCs w:val="18"/>
      </w:rPr>
      <w:t>R</w:t>
    </w:r>
    <w:r w:rsidRPr="007B74D7">
      <w:rPr>
        <w:sz w:val="18"/>
        <w:szCs w:val="18"/>
      </w:rPr>
      <w:t>46 Pavement Marking</w:t>
    </w:r>
  </w:p>
  <w:p w:rsidR="00BC1FFC" w:rsidRDefault="00BC1FFC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FC" w:rsidRDefault="00BC1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E566F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2" w15:restartNumberingAfterBreak="0">
    <w:nsid w:val="0673254C"/>
    <w:multiLevelType w:val="hybridMultilevel"/>
    <w:tmpl w:val="237CBA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125"/>
    <w:multiLevelType w:val="hybridMultilevel"/>
    <w:tmpl w:val="B93A63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706BE"/>
    <w:multiLevelType w:val="hybridMultilevel"/>
    <w:tmpl w:val="BDD04CA6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C1587"/>
    <w:multiLevelType w:val="hybridMultilevel"/>
    <w:tmpl w:val="AAA277F8"/>
    <w:lvl w:ilvl="0" w:tplc="6A5CB2F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43275"/>
    <w:multiLevelType w:val="multilevel"/>
    <w:tmpl w:val="E22EA80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30560572"/>
    <w:multiLevelType w:val="hybridMultilevel"/>
    <w:tmpl w:val="1C72A2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62176"/>
    <w:multiLevelType w:val="multilevel"/>
    <w:tmpl w:val="77EA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F190C"/>
    <w:multiLevelType w:val="hybridMultilevel"/>
    <w:tmpl w:val="285495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B6CAF"/>
    <w:multiLevelType w:val="hybridMultilevel"/>
    <w:tmpl w:val="9A9A9906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80710"/>
    <w:multiLevelType w:val="hybridMultilevel"/>
    <w:tmpl w:val="3F5868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B5352"/>
    <w:multiLevelType w:val="hybridMultilevel"/>
    <w:tmpl w:val="C7324ECC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56F0D"/>
    <w:multiLevelType w:val="hybridMultilevel"/>
    <w:tmpl w:val="098ECDEA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D12E6"/>
    <w:multiLevelType w:val="multilevel"/>
    <w:tmpl w:val="DE0627F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84133"/>
    <w:multiLevelType w:val="hybridMultilevel"/>
    <w:tmpl w:val="DE0627F8"/>
    <w:lvl w:ilvl="0" w:tplc="9B50DBE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37E50"/>
    <w:multiLevelType w:val="hybridMultilevel"/>
    <w:tmpl w:val="D4FC56F8"/>
    <w:lvl w:ilvl="0" w:tplc="FCF4C86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25B81"/>
    <w:multiLevelType w:val="hybridMultilevel"/>
    <w:tmpl w:val="63ECDD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CA6439"/>
    <w:multiLevelType w:val="multilevel"/>
    <w:tmpl w:val="E650098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4E037D"/>
    <w:multiLevelType w:val="hybridMultilevel"/>
    <w:tmpl w:val="068A51A0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C31329"/>
    <w:multiLevelType w:val="hybridMultilevel"/>
    <w:tmpl w:val="5BD44DD0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734FE"/>
    <w:multiLevelType w:val="hybridMultilevel"/>
    <w:tmpl w:val="49349C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418AE"/>
    <w:multiLevelType w:val="hybridMultilevel"/>
    <w:tmpl w:val="262A8BB8"/>
    <w:lvl w:ilvl="0" w:tplc="DD2C5E2E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C3183D"/>
    <w:multiLevelType w:val="hybridMultilevel"/>
    <w:tmpl w:val="263EA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A765C"/>
    <w:multiLevelType w:val="hybridMultilevel"/>
    <w:tmpl w:val="DB420484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B370C"/>
    <w:multiLevelType w:val="hybridMultilevel"/>
    <w:tmpl w:val="B68824B4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F54B74"/>
    <w:multiLevelType w:val="multilevel"/>
    <w:tmpl w:val="7870BF2E"/>
    <w:lvl w:ilvl="0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9AE679D"/>
    <w:multiLevelType w:val="hybridMultilevel"/>
    <w:tmpl w:val="7870BF2E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077A4B"/>
    <w:multiLevelType w:val="hybridMultilevel"/>
    <w:tmpl w:val="A73426A6"/>
    <w:lvl w:ilvl="0" w:tplc="C73852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25"/>
  </w:num>
  <w:num w:numId="5">
    <w:abstractNumId w:val="23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24"/>
  </w:num>
  <w:num w:numId="12">
    <w:abstractNumId w:val="20"/>
  </w:num>
  <w:num w:numId="13">
    <w:abstractNumId w:val="13"/>
  </w:num>
  <w:num w:numId="14">
    <w:abstractNumId w:val="17"/>
  </w:num>
  <w:num w:numId="15">
    <w:abstractNumId w:val="28"/>
  </w:num>
  <w:num w:numId="16">
    <w:abstractNumId w:val="4"/>
  </w:num>
  <w:num w:numId="17">
    <w:abstractNumId w:val="3"/>
  </w:num>
  <w:num w:numId="18">
    <w:abstractNumId w:val="6"/>
  </w:num>
  <w:num w:numId="19">
    <w:abstractNumId w:val="16"/>
  </w:num>
  <w:num w:numId="20">
    <w:abstractNumId w:val="7"/>
  </w:num>
  <w:num w:numId="21">
    <w:abstractNumId w:val="21"/>
  </w:num>
  <w:num w:numId="22">
    <w:abstractNumId w:val="0"/>
  </w:num>
  <w:num w:numId="23">
    <w:abstractNumId w:val="27"/>
  </w:num>
  <w:num w:numId="24">
    <w:abstractNumId w:val="19"/>
  </w:num>
  <w:num w:numId="25">
    <w:abstractNumId w:val="15"/>
  </w:num>
  <w:num w:numId="26">
    <w:abstractNumId w:val="14"/>
  </w:num>
  <w:num w:numId="27">
    <w:abstractNumId w:val="26"/>
  </w:num>
  <w:num w:numId="28">
    <w:abstractNumId w:val="22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E6"/>
    <w:rsid w:val="00001B70"/>
    <w:rsid w:val="0000314F"/>
    <w:rsid w:val="0000587D"/>
    <w:rsid w:val="00007776"/>
    <w:rsid w:val="0001676F"/>
    <w:rsid w:val="00033B9F"/>
    <w:rsid w:val="00034643"/>
    <w:rsid w:val="000548E2"/>
    <w:rsid w:val="0006531F"/>
    <w:rsid w:val="0006534D"/>
    <w:rsid w:val="000733AE"/>
    <w:rsid w:val="0008280F"/>
    <w:rsid w:val="000958A9"/>
    <w:rsid w:val="00097477"/>
    <w:rsid w:val="000A1533"/>
    <w:rsid w:val="000D1BF5"/>
    <w:rsid w:val="000E760C"/>
    <w:rsid w:val="000E7C61"/>
    <w:rsid w:val="000F3124"/>
    <w:rsid w:val="00100FEB"/>
    <w:rsid w:val="0010734A"/>
    <w:rsid w:val="00112C28"/>
    <w:rsid w:val="001136D0"/>
    <w:rsid w:val="00123EBF"/>
    <w:rsid w:val="001269B3"/>
    <w:rsid w:val="001323B1"/>
    <w:rsid w:val="00134B8C"/>
    <w:rsid w:val="0013689E"/>
    <w:rsid w:val="00161FB4"/>
    <w:rsid w:val="00170BBE"/>
    <w:rsid w:val="00173847"/>
    <w:rsid w:val="001746E6"/>
    <w:rsid w:val="001A2F81"/>
    <w:rsid w:val="001D0784"/>
    <w:rsid w:val="001E617B"/>
    <w:rsid w:val="002042EE"/>
    <w:rsid w:val="00224DC6"/>
    <w:rsid w:val="00232EDB"/>
    <w:rsid w:val="002532CE"/>
    <w:rsid w:val="00262348"/>
    <w:rsid w:val="0029138C"/>
    <w:rsid w:val="00295C29"/>
    <w:rsid w:val="002A00AF"/>
    <w:rsid w:val="002A0EEC"/>
    <w:rsid w:val="002A1024"/>
    <w:rsid w:val="002A2322"/>
    <w:rsid w:val="002A4FAD"/>
    <w:rsid w:val="002B435E"/>
    <w:rsid w:val="002B7424"/>
    <w:rsid w:val="002E2EEF"/>
    <w:rsid w:val="002F1E7E"/>
    <w:rsid w:val="002F2FF0"/>
    <w:rsid w:val="00300C1C"/>
    <w:rsid w:val="00311AE6"/>
    <w:rsid w:val="00312789"/>
    <w:rsid w:val="00315C36"/>
    <w:rsid w:val="0031648A"/>
    <w:rsid w:val="00356F4C"/>
    <w:rsid w:val="003579A3"/>
    <w:rsid w:val="00360206"/>
    <w:rsid w:val="00371742"/>
    <w:rsid w:val="00381187"/>
    <w:rsid w:val="00384883"/>
    <w:rsid w:val="003B1F55"/>
    <w:rsid w:val="003C3352"/>
    <w:rsid w:val="003E0923"/>
    <w:rsid w:val="003E1C38"/>
    <w:rsid w:val="0040325C"/>
    <w:rsid w:val="0040382A"/>
    <w:rsid w:val="00421298"/>
    <w:rsid w:val="00443B1F"/>
    <w:rsid w:val="00453441"/>
    <w:rsid w:val="00460D4D"/>
    <w:rsid w:val="004818DF"/>
    <w:rsid w:val="004C74E6"/>
    <w:rsid w:val="004D1B8B"/>
    <w:rsid w:val="004E3EE4"/>
    <w:rsid w:val="004F2EDA"/>
    <w:rsid w:val="004F3427"/>
    <w:rsid w:val="005017D8"/>
    <w:rsid w:val="00542563"/>
    <w:rsid w:val="00547C9E"/>
    <w:rsid w:val="00553611"/>
    <w:rsid w:val="005805E6"/>
    <w:rsid w:val="00581FF5"/>
    <w:rsid w:val="005A535E"/>
    <w:rsid w:val="005C26B5"/>
    <w:rsid w:val="005C4422"/>
    <w:rsid w:val="005C4A51"/>
    <w:rsid w:val="005D6AB0"/>
    <w:rsid w:val="005E41C5"/>
    <w:rsid w:val="0060144D"/>
    <w:rsid w:val="00601B07"/>
    <w:rsid w:val="00604164"/>
    <w:rsid w:val="00611349"/>
    <w:rsid w:val="006113D9"/>
    <w:rsid w:val="00612902"/>
    <w:rsid w:val="00626003"/>
    <w:rsid w:val="006375A6"/>
    <w:rsid w:val="006558D4"/>
    <w:rsid w:val="006814B3"/>
    <w:rsid w:val="006834EF"/>
    <w:rsid w:val="00683D0C"/>
    <w:rsid w:val="006A5E71"/>
    <w:rsid w:val="006C1501"/>
    <w:rsid w:val="006D0510"/>
    <w:rsid w:val="006D0F0E"/>
    <w:rsid w:val="006D492E"/>
    <w:rsid w:val="006D7C1B"/>
    <w:rsid w:val="007141AA"/>
    <w:rsid w:val="00717E9E"/>
    <w:rsid w:val="00720367"/>
    <w:rsid w:val="007302C0"/>
    <w:rsid w:val="0073229A"/>
    <w:rsid w:val="00743B5A"/>
    <w:rsid w:val="007517C9"/>
    <w:rsid w:val="0075601A"/>
    <w:rsid w:val="007605D8"/>
    <w:rsid w:val="00770465"/>
    <w:rsid w:val="007763DE"/>
    <w:rsid w:val="00777D60"/>
    <w:rsid w:val="007A3141"/>
    <w:rsid w:val="007A7C2E"/>
    <w:rsid w:val="007B242A"/>
    <w:rsid w:val="007B74D7"/>
    <w:rsid w:val="007B7CF8"/>
    <w:rsid w:val="007C47CE"/>
    <w:rsid w:val="007D46C5"/>
    <w:rsid w:val="007D5289"/>
    <w:rsid w:val="007E398B"/>
    <w:rsid w:val="007F17FA"/>
    <w:rsid w:val="007F6B36"/>
    <w:rsid w:val="008229A1"/>
    <w:rsid w:val="00845783"/>
    <w:rsid w:val="0086795B"/>
    <w:rsid w:val="00876720"/>
    <w:rsid w:val="00893B51"/>
    <w:rsid w:val="008A6386"/>
    <w:rsid w:val="008B5C79"/>
    <w:rsid w:val="008C1FE2"/>
    <w:rsid w:val="008D66A9"/>
    <w:rsid w:val="008E0B5D"/>
    <w:rsid w:val="008E2B9B"/>
    <w:rsid w:val="00910BC7"/>
    <w:rsid w:val="0092189E"/>
    <w:rsid w:val="009313B6"/>
    <w:rsid w:val="00941D10"/>
    <w:rsid w:val="0096742B"/>
    <w:rsid w:val="00972127"/>
    <w:rsid w:val="009A7A94"/>
    <w:rsid w:val="009B4F74"/>
    <w:rsid w:val="009B5E22"/>
    <w:rsid w:val="009D1B6B"/>
    <w:rsid w:val="009D41CE"/>
    <w:rsid w:val="009D7483"/>
    <w:rsid w:val="00A0038A"/>
    <w:rsid w:val="00A020F9"/>
    <w:rsid w:val="00A04618"/>
    <w:rsid w:val="00A076CD"/>
    <w:rsid w:val="00A1703B"/>
    <w:rsid w:val="00A31DD8"/>
    <w:rsid w:val="00A455F9"/>
    <w:rsid w:val="00A517C9"/>
    <w:rsid w:val="00A60E1B"/>
    <w:rsid w:val="00A76BBE"/>
    <w:rsid w:val="00A95F14"/>
    <w:rsid w:val="00AA415D"/>
    <w:rsid w:val="00AA6818"/>
    <w:rsid w:val="00AB25C2"/>
    <w:rsid w:val="00AD0469"/>
    <w:rsid w:val="00AF2915"/>
    <w:rsid w:val="00AF4555"/>
    <w:rsid w:val="00B023D8"/>
    <w:rsid w:val="00B1698A"/>
    <w:rsid w:val="00B2101B"/>
    <w:rsid w:val="00B30E45"/>
    <w:rsid w:val="00B65F1E"/>
    <w:rsid w:val="00B74F34"/>
    <w:rsid w:val="00B77092"/>
    <w:rsid w:val="00B85AC0"/>
    <w:rsid w:val="00B97AE6"/>
    <w:rsid w:val="00BB1F18"/>
    <w:rsid w:val="00BB44C6"/>
    <w:rsid w:val="00BC1FFC"/>
    <w:rsid w:val="00BD3CF8"/>
    <w:rsid w:val="00C02744"/>
    <w:rsid w:val="00C12D0A"/>
    <w:rsid w:val="00C15191"/>
    <w:rsid w:val="00C22750"/>
    <w:rsid w:val="00C30C23"/>
    <w:rsid w:val="00C30F47"/>
    <w:rsid w:val="00C36C64"/>
    <w:rsid w:val="00C37162"/>
    <w:rsid w:val="00C46E0A"/>
    <w:rsid w:val="00C474DC"/>
    <w:rsid w:val="00C50980"/>
    <w:rsid w:val="00C50A81"/>
    <w:rsid w:val="00C51E3E"/>
    <w:rsid w:val="00C54220"/>
    <w:rsid w:val="00C6030D"/>
    <w:rsid w:val="00C7744E"/>
    <w:rsid w:val="00C77A53"/>
    <w:rsid w:val="00CB2EB7"/>
    <w:rsid w:val="00CC72F0"/>
    <w:rsid w:val="00CD3494"/>
    <w:rsid w:val="00CE23A2"/>
    <w:rsid w:val="00CF769F"/>
    <w:rsid w:val="00D02CAC"/>
    <w:rsid w:val="00D05794"/>
    <w:rsid w:val="00D179F2"/>
    <w:rsid w:val="00D27C10"/>
    <w:rsid w:val="00D33ADB"/>
    <w:rsid w:val="00D346CE"/>
    <w:rsid w:val="00D40D5B"/>
    <w:rsid w:val="00D42A95"/>
    <w:rsid w:val="00D53382"/>
    <w:rsid w:val="00D95036"/>
    <w:rsid w:val="00DA4E00"/>
    <w:rsid w:val="00DB6F80"/>
    <w:rsid w:val="00DB78EB"/>
    <w:rsid w:val="00DC5850"/>
    <w:rsid w:val="00DC751A"/>
    <w:rsid w:val="00DF7EC6"/>
    <w:rsid w:val="00E1547C"/>
    <w:rsid w:val="00E34A21"/>
    <w:rsid w:val="00E43F32"/>
    <w:rsid w:val="00E52119"/>
    <w:rsid w:val="00E57DB2"/>
    <w:rsid w:val="00E57FE9"/>
    <w:rsid w:val="00E61D5F"/>
    <w:rsid w:val="00E63579"/>
    <w:rsid w:val="00E8694D"/>
    <w:rsid w:val="00EA1627"/>
    <w:rsid w:val="00EA70FB"/>
    <w:rsid w:val="00ED183B"/>
    <w:rsid w:val="00ED5C08"/>
    <w:rsid w:val="00EF2BB0"/>
    <w:rsid w:val="00F22E80"/>
    <w:rsid w:val="00F35D9F"/>
    <w:rsid w:val="00F36EB3"/>
    <w:rsid w:val="00F4777A"/>
    <w:rsid w:val="00F57730"/>
    <w:rsid w:val="00F75A3B"/>
    <w:rsid w:val="00F77E72"/>
    <w:rsid w:val="00F77EF9"/>
    <w:rsid w:val="00F87DA5"/>
    <w:rsid w:val="00F92336"/>
    <w:rsid w:val="00F963FC"/>
    <w:rsid w:val="00FA13CF"/>
    <w:rsid w:val="00FB0653"/>
    <w:rsid w:val="00FC0CF5"/>
    <w:rsid w:val="00FC2FB4"/>
    <w:rsid w:val="00FE25C3"/>
    <w:rsid w:val="00FF5046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F8297D-FAF5-44E9-A7F5-553309D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aliases w:val="h2 main heading,h2 main heading1,h2 main heading2,h2 main heading3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161F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61F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61F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ind w:left="6947" w:hanging="1418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6372" w:hanging="708"/>
      <w:outlineLvl w:val="8"/>
    </w:pPr>
    <w:rPr>
      <w:i/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nderText">
    <w:name w:val="Tender Text"/>
    <w:basedOn w:val="Normal"/>
    <w:pPr>
      <w:suppressAutoHyphens/>
    </w:pPr>
  </w:style>
  <w:style w:type="paragraph" w:customStyle="1" w:styleId="DotPoint">
    <w:name w:val="Dot Point"/>
    <w:basedOn w:val="Normal"/>
    <w:pPr>
      <w:tabs>
        <w:tab w:val="num" w:pos="360"/>
      </w:tabs>
      <w:spacing w:before="120"/>
      <w:ind w:left="360" w:hanging="36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D346CE"/>
    <w:rPr>
      <w:color w:val="0000FF"/>
      <w:u w:val="single"/>
    </w:rPr>
  </w:style>
  <w:style w:type="paragraph" w:customStyle="1" w:styleId="CharCharCharChar">
    <w:name w:val="Char Char Char Char"/>
    <w:aliases w:val="Char"/>
    <w:basedOn w:val="Normal"/>
    <w:rsid w:val="005C4A51"/>
    <w:pPr>
      <w:spacing w:after="160" w:line="240" w:lineRule="exact"/>
      <w:jc w:val="left"/>
    </w:pPr>
    <w:rPr>
      <w:rFonts w:ascii="Tahoma" w:hAnsi="Tahoma" w:cs="Tahoma"/>
      <w:lang w:val="en-US"/>
    </w:rPr>
  </w:style>
  <w:style w:type="character" w:styleId="FollowedHyperlink">
    <w:name w:val="FollowedHyperlink"/>
    <w:basedOn w:val="DefaultParagraphFont"/>
    <w:rsid w:val="005C4A51"/>
    <w:rPr>
      <w:color w:val="800080"/>
      <w:u w:val="single"/>
    </w:rPr>
  </w:style>
  <w:style w:type="table" w:styleId="TableGrid">
    <w:name w:val="Table Grid"/>
    <w:basedOn w:val="TableNormal"/>
    <w:rsid w:val="0005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30D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161FB4"/>
    <w:pPr>
      <w:ind w:left="566" w:hanging="283"/>
    </w:pPr>
  </w:style>
  <w:style w:type="paragraph" w:styleId="ListBullet2">
    <w:name w:val="List Bullet 2"/>
    <w:basedOn w:val="Normal"/>
    <w:rsid w:val="00161FB4"/>
    <w:pPr>
      <w:numPr>
        <w:numId w:val="22"/>
      </w:numPr>
    </w:pPr>
  </w:style>
  <w:style w:type="paragraph" w:styleId="Caption">
    <w:name w:val="caption"/>
    <w:basedOn w:val="Normal"/>
    <w:next w:val="Normal"/>
    <w:qFormat/>
    <w:rsid w:val="00161FB4"/>
    <w:rPr>
      <w:b/>
      <w:bCs/>
    </w:rPr>
  </w:style>
  <w:style w:type="paragraph" w:styleId="BodyText">
    <w:name w:val="Body Text"/>
    <w:basedOn w:val="Normal"/>
    <w:rsid w:val="00161FB4"/>
    <w:pPr>
      <w:spacing w:after="120"/>
    </w:pPr>
  </w:style>
  <w:style w:type="character" w:styleId="CommentReference">
    <w:name w:val="annotation reference"/>
    <w:basedOn w:val="DefaultParagraphFont"/>
    <w:rsid w:val="002913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38C"/>
  </w:style>
  <w:style w:type="character" w:customStyle="1" w:styleId="CommentTextChar">
    <w:name w:val="Comment Text Char"/>
    <w:basedOn w:val="DefaultParagraphFont"/>
    <w:link w:val="CommentText"/>
    <w:rsid w:val="002913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1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13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ei.sa.gov.au/dtei_contractor_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as.gov.au/pcc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246</vt:lpstr>
    </vt:vector>
  </TitlesOfParts>
  <Manager/>
  <Company/>
  <LinksUpToDate>false</LinksUpToDate>
  <CharactersWithSpaces>23776</CharactersWithSpaces>
  <SharedDoc>false</SharedDoc>
  <HLinks>
    <vt:vector size="12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http://www.dtei.sa.gov.au/dtei_contractor_documents</vt:lpwstr>
      </vt:variant>
      <vt:variant>
        <vt:lpwstr/>
      </vt:variant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http://www.apas.gov.au/pccp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246</dc:title>
  <dc:subject/>
  <dc:creator>DTEI</dc:creator>
  <cp:keywords/>
  <dc:description/>
  <cp:lastModifiedBy>Richard Edwards</cp:lastModifiedBy>
  <cp:revision>2</cp:revision>
  <cp:lastPrinted>2011-11-17T02:54:00Z</cp:lastPrinted>
  <dcterms:created xsi:type="dcterms:W3CDTF">2016-03-17T03:34:00Z</dcterms:created>
  <dcterms:modified xsi:type="dcterms:W3CDTF">2016-03-17T03:34:00Z</dcterms:modified>
</cp:coreProperties>
</file>