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EB" w:rsidRDefault="004D770B" w:rsidP="002D13EB">
      <w:pPr>
        <w:suppressAutoHyphens/>
        <w:ind w:left="567"/>
        <w:rPr>
          <w:rFonts w:ascii="Times New Roman" w:hAnsi="Times New Roman"/>
        </w:rPr>
      </w:pPr>
      <w:r>
        <w:rPr>
          <w:rFonts w:ascii="Times New Roman" w:hAnsi="Times New Roman"/>
          <w:b/>
          <w:noProof/>
          <w:sz w:val="25"/>
          <w:lang w:eastAsia="en-AU"/>
        </w:rPr>
        <mc:AlternateContent>
          <mc:Choice Requires="wps">
            <w:drawing>
              <wp:anchor distT="0" distB="0" distL="114300" distR="114300" simplePos="0" relativeHeight="251657728" behindDoc="0" locked="0" layoutInCell="0" allowOverlap="1">
                <wp:simplePos x="0" y="0"/>
                <wp:positionH relativeFrom="column">
                  <wp:posOffset>-247015</wp:posOffset>
                </wp:positionH>
                <wp:positionV relativeFrom="paragraph">
                  <wp:posOffset>-669925</wp:posOffset>
                </wp:positionV>
                <wp:extent cx="6604000" cy="9628505"/>
                <wp:effectExtent l="0" t="0" r="635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628505"/>
                        </a:xfrm>
                        <a:prstGeom prst="rect">
                          <a:avLst/>
                        </a:prstGeom>
                        <a:gradFill rotWithShape="0">
                          <a:gsLst>
                            <a:gs pos="0">
                              <a:srgbClr val="F2F2E6"/>
                            </a:gs>
                            <a:gs pos="100000">
                              <a:schemeClr val="accent3">
                                <a:lumMod val="75000"/>
                              </a:schemeClr>
                            </a:gs>
                          </a:gsLst>
                          <a:lin ang="0" scaled="1"/>
                        </a:gradFill>
                        <a:ln>
                          <a:noFill/>
                        </a:ln>
                        <a:extLst/>
                      </wps:spPr>
                      <wps:txbx>
                        <w:txbxContent>
                          <w:p w:rsidR="005836B2" w:rsidRPr="004D770B" w:rsidRDefault="005836B2" w:rsidP="002D13EB">
                            <w:pPr>
                              <w:rPr>
                                <w:rFonts w:ascii="Bookman Old Style" w:hAnsi="Bookman Old Style"/>
                                <w:b/>
                                <w:snapToGrid w:val="0"/>
                                <w:sz w:val="64"/>
                                <w14:shadow w14:blurRad="50800" w14:dist="38100" w14:dir="2700000" w14:sx="100000" w14:sy="100000" w14:kx="0" w14:ky="0" w14:algn="tl">
                                  <w14:srgbClr w14:val="000000">
                                    <w14:alpha w14:val="60000"/>
                                  </w14:srgbClr>
                                </w14:shadow>
                                <w14:textFill>
                                  <w14:solidFill>
                                    <w14:srgbClr w14:val="FFFFFF"/>
                                  </w14:solidFill>
                                </w14:textFill>
                              </w:rPr>
                            </w:pPr>
                          </w:p>
                          <w:p w:rsidR="005836B2" w:rsidRPr="004D770B" w:rsidRDefault="004D770B" w:rsidP="002D13EB">
                            <w:pPr>
                              <w:jc w:val="center"/>
                              <w:rPr>
                                <w:rFonts w:ascii="Bookman Old Style" w:hAnsi="Bookman Old Style"/>
                                <w:b/>
                                <w:snapToGrid w:val="0"/>
                                <w:sz w:val="64"/>
                                <w14:shadow w14:blurRad="50800" w14:dist="38100" w14:dir="2700000" w14:sx="100000" w14:sy="100000" w14:kx="0" w14:ky="0" w14:algn="tl">
                                  <w14:srgbClr w14:val="000000">
                                    <w14:alpha w14:val="60000"/>
                                  </w14:srgbClr>
                                </w14:shadow>
                                <w14:textFill>
                                  <w14:solidFill>
                                    <w14:srgbClr w14:val="FFFFFF"/>
                                  </w14:solidFill>
                                </w14:textFill>
                              </w:rPr>
                            </w:pPr>
                            <w:r w:rsidRPr="00E11968">
                              <w:rPr>
                                <w:rFonts w:cs="Arial"/>
                                <w:noProof/>
                                <w:spacing w:val="-2"/>
                                <w:lang w:eastAsia="en-AU"/>
                              </w:rPr>
                              <w:drawing>
                                <wp:inline distT="0" distB="0" distL="0" distR="0">
                                  <wp:extent cx="1438275" cy="1419225"/>
                                  <wp:effectExtent l="0" t="0" r="9525" b="9525"/>
                                  <wp:docPr id="6" name="Picture 1"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V"/>
                                          <pic:cNvPicPr>
                                            <a:picLocks noChangeAspect="1" noChangeArrowheads="1"/>
                                          </pic:cNvPicPr>
                                        </pic:nvPicPr>
                                        <pic:blipFill>
                                          <a:blip r:embed="rId8">
                                            <a:extLst>
                                              <a:ext uri="{28A0092B-C50C-407E-A947-70E740481C1C}">
                                                <a14:useLocalDpi xmlns:a14="http://schemas.microsoft.com/office/drawing/2010/main" val="0"/>
                                              </a:ext>
                                            </a:extLst>
                                          </a:blip>
                                          <a:srcRect l="8800" t="9296" r="4359" b="5553"/>
                                          <a:stretch>
                                            <a:fillRect/>
                                          </a:stretch>
                                        </pic:blipFill>
                                        <pic:spPr bwMode="auto">
                                          <a:xfrm>
                                            <a:off x="0" y="0"/>
                                            <a:ext cx="1438275" cy="1419225"/>
                                          </a:xfrm>
                                          <a:prstGeom prst="rect">
                                            <a:avLst/>
                                          </a:prstGeom>
                                          <a:noFill/>
                                          <a:ln>
                                            <a:noFill/>
                                          </a:ln>
                                        </pic:spPr>
                                      </pic:pic>
                                    </a:graphicData>
                                  </a:graphic>
                                </wp:inline>
                              </w:drawing>
                            </w:r>
                          </w:p>
                          <w:p w:rsidR="005836B2" w:rsidRPr="004D770B" w:rsidRDefault="005836B2" w:rsidP="002D13EB">
                            <w:pPr>
                              <w:rPr>
                                <w:rFonts w:ascii="Bookman Old Style" w:hAnsi="Bookman Old Style"/>
                                <w:b/>
                                <w:snapToGrid w:val="0"/>
                                <w:sz w:val="64"/>
                                <w14:shadow w14:blurRad="50800" w14:dist="38100" w14:dir="2700000" w14:sx="100000" w14:sy="100000" w14:kx="0" w14:ky="0" w14:algn="tl">
                                  <w14:srgbClr w14:val="000000">
                                    <w14:alpha w14:val="60000"/>
                                  </w14:srgbClr>
                                </w14:shadow>
                                <w14:textFill>
                                  <w14:solidFill>
                                    <w14:srgbClr w14:val="FFFFFF"/>
                                  </w14:solidFill>
                                </w14:textFill>
                              </w:rPr>
                            </w:pPr>
                          </w:p>
                          <w:p w:rsidR="005836B2" w:rsidRDefault="005836B2" w:rsidP="002D13EB">
                            <w:pPr>
                              <w:pStyle w:val="BodyText3"/>
                              <w:rPr>
                                <w:color w:val="000080"/>
                              </w:rPr>
                            </w:pPr>
                            <w:r>
                              <w:rPr>
                                <w:color w:val="000080"/>
                              </w:rPr>
                              <w:t>CONTRACTOR PREQUALIFICATION SCHEME</w:t>
                            </w:r>
                          </w:p>
                          <w:p w:rsidR="005836B2" w:rsidRDefault="005836B2" w:rsidP="002D13EB">
                            <w:pPr>
                              <w:pStyle w:val="BodyText3"/>
                              <w:rPr>
                                <w:color w:val="000080"/>
                              </w:rPr>
                            </w:pPr>
                          </w:p>
                          <w:p w:rsidR="005836B2" w:rsidRDefault="005836B2" w:rsidP="002D13EB">
                            <w:pPr>
                              <w:pStyle w:val="BodyText3"/>
                              <w:rPr>
                                <w:color w:val="000080"/>
                              </w:rPr>
                            </w:pPr>
                          </w:p>
                          <w:p w:rsidR="005836B2" w:rsidRDefault="005836B2" w:rsidP="002D13EB">
                            <w:pPr>
                              <w:pStyle w:val="BodyText3"/>
                              <w:rPr>
                                <w:color w:val="000080"/>
                              </w:rPr>
                            </w:pPr>
                          </w:p>
                          <w:p w:rsidR="005836B2" w:rsidRDefault="00FD6E37" w:rsidP="002D13EB">
                            <w:pPr>
                              <w:pStyle w:val="BodyText3"/>
                              <w:rPr>
                                <w:color w:val="000080"/>
                              </w:rPr>
                            </w:pPr>
                            <w:r>
                              <w:rPr>
                                <w:color w:val="000080"/>
                              </w:rPr>
                              <w:t>PRECAST CONCRETE</w:t>
                            </w:r>
                            <w:r w:rsidR="00914902">
                              <w:rPr>
                                <w:color w:val="000080"/>
                              </w:rPr>
                              <w:t xml:space="preserve"> PRODUCTS</w:t>
                            </w:r>
                          </w:p>
                          <w:p w:rsidR="005836B2" w:rsidRDefault="005836B2" w:rsidP="002D13EB">
                            <w:pPr>
                              <w:pStyle w:val="BodyText3"/>
                              <w:rPr>
                                <w:color w:val="000080"/>
                              </w:rPr>
                            </w:pPr>
                          </w:p>
                          <w:p w:rsidR="005836B2" w:rsidRDefault="005836B2" w:rsidP="002D13EB">
                            <w:pPr>
                              <w:pStyle w:val="BodyText3"/>
                              <w:rPr>
                                <w:color w:val="000080"/>
                              </w:rPr>
                            </w:pPr>
                          </w:p>
                          <w:p w:rsidR="005836B2" w:rsidRDefault="005836B2" w:rsidP="002D13EB">
                            <w:pPr>
                              <w:pStyle w:val="BodyText3"/>
                              <w:rPr>
                                <w:color w:val="000080"/>
                              </w:rPr>
                            </w:pPr>
                            <w:r>
                              <w:rPr>
                                <w:color w:val="000080"/>
                              </w:rPr>
                              <w:t>GUIDELINES, CONDITIONS AND APPLICATION FORM</w:t>
                            </w:r>
                          </w:p>
                          <w:p w:rsidR="005836B2" w:rsidRDefault="005836B2" w:rsidP="002D13EB">
                            <w:pPr>
                              <w:jc w:val="center"/>
                            </w:pPr>
                          </w:p>
                          <w:p w:rsidR="005836B2" w:rsidRDefault="005836B2" w:rsidP="002D13EB">
                            <w:pPr>
                              <w:jc w:val="center"/>
                            </w:pPr>
                          </w:p>
                          <w:p w:rsidR="005836B2" w:rsidRDefault="005836B2" w:rsidP="002D13EB">
                            <w:pPr>
                              <w:jc w:val="center"/>
                            </w:pPr>
                          </w:p>
                          <w:p w:rsidR="005836B2" w:rsidRDefault="005836B2" w:rsidP="002D13EB">
                            <w:pPr>
                              <w:jc w:val="center"/>
                            </w:pPr>
                          </w:p>
                          <w:p w:rsidR="005836B2" w:rsidRDefault="004D770B" w:rsidP="002D13EB">
                            <w:pPr>
                              <w:jc w:val="center"/>
                              <w:rPr>
                                <w:rFonts w:cs="Arial"/>
                                <w:sz w:val="22"/>
                              </w:rPr>
                            </w:pPr>
                            <w:r>
                              <w:rPr>
                                <w:rFonts w:cs="Arial"/>
                                <w:noProof/>
                                <w:sz w:val="22"/>
                                <w:lang w:eastAsia="en-AU"/>
                              </w:rPr>
                              <w:drawing>
                                <wp:inline distT="0" distB="0" distL="0" distR="0">
                                  <wp:extent cx="800100" cy="647700"/>
                                  <wp:effectExtent l="0" t="0" r="0" b="0"/>
                                  <wp:docPr id="5" name="Picture 2" descr="shr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rsidR="005836B2" w:rsidRDefault="005836B2" w:rsidP="002D13EB">
                            <w:pPr>
                              <w:jc w:val="center"/>
                              <w:rPr>
                                <w:rFonts w:cs="Arial"/>
                                <w:sz w:val="22"/>
                              </w:rPr>
                            </w:pPr>
                          </w:p>
                          <w:p w:rsidR="005836B2" w:rsidRDefault="005836B2" w:rsidP="002D13EB">
                            <w:pPr>
                              <w:jc w:val="center"/>
                              <w:rPr>
                                <w:rFonts w:cs="Arial"/>
                                <w:sz w:val="22"/>
                              </w:rPr>
                            </w:pPr>
                          </w:p>
                          <w:p w:rsidR="005836B2" w:rsidRDefault="005836B2" w:rsidP="002D13E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45pt;margin-top:-52.75pt;width:520pt;height:75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GvXAIAAKcEAAAOAAAAZHJzL2Uyb0RvYy54bWysVMlu2zAQvRfoPxC815IdL4lgOUiduiiQ&#10;LkBS9ExRlESU4rAkbSn5+g5J2zHaW9ELQc3y5s0bjta3Y6/IQVgnQZd0OskpEZpDLXVb0u9Pu3fX&#10;lDjPdM0UaFHSZ+Ho7ebtm/VgCjGDDlQtLEEQ7YrBlLTz3hRZ5ngneuYmYIRGZwO2Zx4/bZvVlg2I&#10;3qtslufLbABbGwtcOIfW++Skm4jfNIL7r03jhCeqpMjNx9PGswpntlmzorXMdJIfabB/YNEzqbHo&#10;GeqeeUb2Vv4F1UtuwUHjJxz6DJpGchF7wG6m+R/dPHbMiNgLiuPMWSb3/2D5l8M3S2Rd0hUlmvU4&#10;oicxevIeRnIV1BmMKzDo0WCYH9GMU46dOvMA/KcjGrYd0624sxaGTrAa2U1DZnaRmnBcAKmGz1Bj&#10;Gbb3EIHGxvZBOhSDIDpO6fk8mUCFo3G5zOd5ji6Ovpvl7HqRL2INVpzSjXX+o4CehEtJLY4+wrPD&#10;g/OBDitOIcdB1TupFLHgf0jfRa1D3eh0mJMuxAA2lMzOttVWWXJg+Jp2s93sw/JIonWX0VOkimSD&#10;KT5kcU5inAvtr6JL7XtUIoGtFiEhsTynRM4BGam3J0ZKaoJyB0rEcaYEji7JHR9f7CkUVjqcGkKP&#10;CTdZUNGjHmE8YSJpNn6sRowLxgrqZxwUChOr4HbjpQP7QsmAm1JS92vPrKBEfdKozc10Pg+rFT/m&#10;i9UMP+ylp7r0MM0RqqSeYhvhuvVpHffGyrbDSul5abjDB9LIOLpXVsdnhduQZEmbG9bt8jtGvf5f&#10;Nr8BAAD//wMAUEsDBBQABgAIAAAAIQA6SXyb3wAAAA4BAAAPAAAAZHJzL2Rvd25yZXYueG1sTI/L&#10;TsMwEEX3SPyDNUjsWtstRSHEqRCID2gbie0kNnFUP6LYbUO/nukKdnc0R3fOVNvZO3Y2UxpiUCCX&#10;ApgJXdRD6BU0h89FASxlDBpdDEbBj0mwre/vKix1vISdOe9zz6gkpBIV2JzHkvPUWeMxLeNoAu2+&#10;4+Qx0zj1XE94oXLv+EqIZ+5xCHTB4mjeremO+5NXcJzwq10J2+zciAdcu4+huV6VenyY316BZTPn&#10;Pxhu+qQONTm18RR0Yk7BYl28EEpBis0G2A0RQkpgLaUnKQrgdcX/v1H/AgAA//8DAFBLAQItABQA&#10;BgAIAAAAIQC2gziS/gAAAOEBAAATAAAAAAAAAAAAAAAAAAAAAABbQ29udGVudF9UeXBlc10ueG1s&#10;UEsBAi0AFAAGAAgAAAAhADj9If/WAAAAlAEAAAsAAAAAAAAAAAAAAAAALwEAAF9yZWxzLy5yZWxz&#10;UEsBAi0AFAAGAAgAAAAhANKJoa9cAgAApwQAAA4AAAAAAAAAAAAAAAAALgIAAGRycy9lMm9Eb2Mu&#10;eG1sUEsBAi0AFAAGAAgAAAAhADpJfJvfAAAADgEAAA8AAAAAAAAAAAAAAAAAtgQAAGRycy9kb3du&#10;cmV2LnhtbFBLBQYAAAAABAAEAPMAAADCBQAAAAA=&#10;" o:allowincell="f" fillcolor="#f2f2e6" stroked="f">
                <v:fill color2="#7b7b7b [2406]" angle="90" focus="100%" type="gradient"/>
                <v:textbox>
                  <w:txbxContent>
                    <w:p w:rsidR="005836B2" w:rsidRPr="004D770B" w:rsidRDefault="005836B2" w:rsidP="002D13EB">
                      <w:pPr>
                        <w:rPr>
                          <w:rFonts w:ascii="Bookman Old Style" w:hAnsi="Bookman Old Style"/>
                          <w:b/>
                          <w:snapToGrid w:val="0"/>
                          <w:sz w:val="64"/>
                          <w14:shadow w14:blurRad="50800" w14:dist="38100" w14:dir="2700000" w14:sx="100000" w14:sy="100000" w14:kx="0" w14:ky="0" w14:algn="tl">
                            <w14:srgbClr w14:val="000000">
                              <w14:alpha w14:val="60000"/>
                            </w14:srgbClr>
                          </w14:shadow>
                          <w14:textFill>
                            <w14:solidFill>
                              <w14:srgbClr w14:val="FFFFFF"/>
                            </w14:solidFill>
                          </w14:textFill>
                        </w:rPr>
                      </w:pPr>
                    </w:p>
                    <w:p w:rsidR="005836B2" w:rsidRPr="004D770B" w:rsidRDefault="004D770B" w:rsidP="002D13EB">
                      <w:pPr>
                        <w:jc w:val="center"/>
                        <w:rPr>
                          <w:rFonts w:ascii="Bookman Old Style" w:hAnsi="Bookman Old Style"/>
                          <w:b/>
                          <w:snapToGrid w:val="0"/>
                          <w:sz w:val="64"/>
                          <w14:shadow w14:blurRad="50800" w14:dist="38100" w14:dir="2700000" w14:sx="100000" w14:sy="100000" w14:kx="0" w14:ky="0" w14:algn="tl">
                            <w14:srgbClr w14:val="000000">
                              <w14:alpha w14:val="60000"/>
                            </w14:srgbClr>
                          </w14:shadow>
                          <w14:textFill>
                            <w14:solidFill>
                              <w14:srgbClr w14:val="FFFFFF"/>
                            </w14:solidFill>
                          </w14:textFill>
                        </w:rPr>
                      </w:pPr>
                      <w:r w:rsidRPr="00E11968">
                        <w:rPr>
                          <w:rFonts w:cs="Arial"/>
                          <w:noProof/>
                          <w:spacing w:val="-2"/>
                          <w:lang w:eastAsia="en-AU"/>
                        </w:rPr>
                        <w:drawing>
                          <wp:inline distT="0" distB="0" distL="0" distR="0">
                            <wp:extent cx="1438275" cy="1419225"/>
                            <wp:effectExtent l="0" t="0" r="9525" b="9525"/>
                            <wp:docPr id="6" name="Picture 1"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V"/>
                                    <pic:cNvPicPr>
                                      <a:picLocks noChangeAspect="1" noChangeArrowheads="1"/>
                                    </pic:cNvPicPr>
                                  </pic:nvPicPr>
                                  <pic:blipFill>
                                    <a:blip r:embed="rId8">
                                      <a:extLst>
                                        <a:ext uri="{28A0092B-C50C-407E-A947-70E740481C1C}">
                                          <a14:useLocalDpi xmlns:a14="http://schemas.microsoft.com/office/drawing/2010/main" val="0"/>
                                        </a:ext>
                                      </a:extLst>
                                    </a:blip>
                                    <a:srcRect l="8800" t="9296" r="4359" b="5553"/>
                                    <a:stretch>
                                      <a:fillRect/>
                                    </a:stretch>
                                  </pic:blipFill>
                                  <pic:spPr bwMode="auto">
                                    <a:xfrm>
                                      <a:off x="0" y="0"/>
                                      <a:ext cx="1438275" cy="1419225"/>
                                    </a:xfrm>
                                    <a:prstGeom prst="rect">
                                      <a:avLst/>
                                    </a:prstGeom>
                                    <a:noFill/>
                                    <a:ln>
                                      <a:noFill/>
                                    </a:ln>
                                  </pic:spPr>
                                </pic:pic>
                              </a:graphicData>
                            </a:graphic>
                          </wp:inline>
                        </w:drawing>
                      </w:r>
                    </w:p>
                    <w:p w:rsidR="005836B2" w:rsidRPr="004D770B" w:rsidRDefault="005836B2" w:rsidP="002D13EB">
                      <w:pPr>
                        <w:rPr>
                          <w:rFonts w:ascii="Bookman Old Style" w:hAnsi="Bookman Old Style"/>
                          <w:b/>
                          <w:snapToGrid w:val="0"/>
                          <w:sz w:val="64"/>
                          <w14:shadow w14:blurRad="50800" w14:dist="38100" w14:dir="2700000" w14:sx="100000" w14:sy="100000" w14:kx="0" w14:ky="0" w14:algn="tl">
                            <w14:srgbClr w14:val="000000">
                              <w14:alpha w14:val="60000"/>
                            </w14:srgbClr>
                          </w14:shadow>
                          <w14:textFill>
                            <w14:solidFill>
                              <w14:srgbClr w14:val="FFFFFF"/>
                            </w14:solidFill>
                          </w14:textFill>
                        </w:rPr>
                      </w:pPr>
                    </w:p>
                    <w:p w:rsidR="005836B2" w:rsidRDefault="005836B2" w:rsidP="002D13EB">
                      <w:pPr>
                        <w:pStyle w:val="BodyText3"/>
                        <w:rPr>
                          <w:color w:val="000080"/>
                        </w:rPr>
                      </w:pPr>
                      <w:r>
                        <w:rPr>
                          <w:color w:val="000080"/>
                        </w:rPr>
                        <w:t>CONTRACTOR PREQUALIFICATION SCHEME</w:t>
                      </w:r>
                    </w:p>
                    <w:p w:rsidR="005836B2" w:rsidRDefault="005836B2" w:rsidP="002D13EB">
                      <w:pPr>
                        <w:pStyle w:val="BodyText3"/>
                        <w:rPr>
                          <w:color w:val="000080"/>
                        </w:rPr>
                      </w:pPr>
                    </w:p>
                    <w:p w:rsidR="005836B2" w:rsidRDefault="005836B2" w:rsidP="002D13EB">
                      <w:pPr>
                        <w:pStyle w:val="BodyText3"/>
                        <w:rPr>
                          <w:color w:val="000080"/>
                        </w:rPr>
                      </w:pPr>
                    </w:p>
                    <w:p w:rsidR="005836B2" w:rsidRDefault="005836B2" w:rsidP="002D13EB">
                      <w:pPr>
                        <w:pStyle w:val="BodyText3"/>
                        <w:rPr>
                          <w:color w:val="000080"/>
                        </w:rPr>
                      </w:pPr>
                    </w:p>
                    <w:p w:rsidR="005836B2" w:rsidRDefault="00FD6E37" w:rsidP="002D13EB">
                      <w:pPr>
                        <w:pStyle w:val="BodyText3"/>
                        <w:rPr>
                          <w:color w:val="000080"/>
                        </w:rPr>
                      </w:pPr>
                      <w:r>
                        <w:rPr>
                          <w:color w:val="000080"/>
                        </w:rPr>
                        <w:t>PRECAST CONCRETE</w:t>
                      </w:r>
                      <w:r w:rsidR="00914902">
                        <w:rPr>
                          <w:color w:val="000080"/>
                        </w:rPr>
                        <w:t xml:space="preserve"> PRODUCTS</w:t>
                      </w:r>
                    </w:p>
                    <w:p w:rsidR="005836B2" w:rsidRDefault="005836B2" w:rsidP="002D13EB">
                      <w:pPr>
                        <w:pStyle w:val="BodyText3"/>
                        <w:rPr>
                          <w:color w:val="000080"/>
                        </w:rPr>
                      </w:pPr>
                    </w:p>
                    <w:p w:rsidR="005836B2" w:rsidRDefault="005836B2" w:rsidP="002D13EB">
                      <w:pPr>
                        <w:pStyle w:val="BodyText3"/>
                        <w:rPr>
                          <w:color w:val="000080"/>
                        </w:rPr>
                      </w:pPr>
                    </w:p>
                    <w:p w:rsidR="005836B2" w:rsidRDefault="005836B2" w:rsidP="002D13EB">
                      <w:pPr>
                        <w:pStyle w:val="BodyText3"/>
                        <w:rPr>
                          <w:color w:val="000080"/>
                        </w:rPr>
                      </w:pPr>
                      <w:r>
                        <w:rPr>
                          <w:color w:val="000080"/>
                        </w:rPr>
                        <w:t>GUIDELINES, CONDITIONS AND APPLICATION FORM</w:t>
                      </w:r>
                    </w:p>
                    <w:p w:rsidR="005836B2" w:rsidRDefault="005836B2" w:rsidP="002D13EB">
                      <w:pPr>
                        <w:jc w:val="center"/>
                      </w:pPr>
                    </w:p>
                    <w:p w:rsidR="005836B2" w:rsidRDefault="005836B2" w:rsidP="002D13EB">
                      <w:pPr>
                        <w:jc w:val="center"/>
                      </w:pPr>
                    </w:p>
                    <w:p w:rsidR="005836B2" w:rsidRDefault="005836B2" w:rsidP="002D13EB">
                      <w:pPr>
                        <w:jc w:val="center"/>
                      </w:pPr>
                    </w:p>
                    <w:p w:rsidR="005836B2" w:rsidRDefault="005836B2" w:rsidP="002D13EB">
                      <w:pPr>
                        <w:jc w:val="center"/>
                      </w:pPr>
                    </w:p>
                    <w:p w:rsidR="005836B2" w:rsidRDefault="004D770B" w:rsidP="002D13EB">
                      <w:pPr>
                        <w:jc w:val="center"/>
                        <w:rPr>
                          <w:rFonts w:cs="Arial"/>
                          <w:sz w:val="22"/>
                        </w:rPr>
                      </w:pPr>
                      <w:r>
                        <w:rPr>
                          <w:rFonts w:cs="Arial"/>
                          <w:noProof/>
                          <w:sz w:val="22"/>
                          <w:lang w:eastAsia="en-AU"/>
                        </w:rPr>
                        <w:drawing>
                          <wp:inline distT="0" distB="0" distL="0" distR="0">
                            <wp:extent cx="800100" cy="647700"/>
                            <wp:effectExtent l="0" t="0" r="0" b="0"/>
                            <wp:docPr id="5" name="Picture 2" descr="shr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rsidR="005836B2" w:rsidRDefault="005836B2" w:rsidP="002D13EB">
                      <w:pPr>
                        <w:jc w:val="center"/>
                        <w:rPr>
                          <w:rFonts w:cs="Arial"/>
                          <w:sz w:val="22"/>
                        </w:rPr>
                      </w:pPr>
                    </w:p>
                    <w:p w:rsidR="005836B2" w:rsidRDefault="005836B2" w:rsidP="002D13EB">
                      <w:pPr>
                        <w:jc w:val="center"/>
                        <w:rPr>
                          <w:rFonts w:cs="Arial"/>
                          <w:sz w:val="22"/>
                        </w:rPr>
                      </w:pPr>
                    </w:p>
                    <w:p w:rsidR="005836B2" w:rsidRDefault="005836B2" w:rsidP="002D13EB">
                      <w:pPr>
                        <w:jc w:val="right"/>
                      </w:pPr>
                    </w:p>
                  </w:txbxContent>
                </v:textbox>
              </v:shape>
            </w:pict>
          </mc:Fallback>
        </mc:AlternateContent>
      </w:r>
      <w:r w:rsidR="002D13EB">
        <w:rPr>
          <w:rFonts w:ascii="Times New Roman" w:hAnsi="Times New Roman"/>
          <w:b/>
          <w:sz w:val="25"/>
        </w:rPr>
        <w:br w:type="page"/>
      </w:r>
    </w:p>
    <w:p w:rsidR="005521B2" w:rsidRDefault="005521B2" w:rsidP="00FA166F">
      <w:pPr>
        <w:suppressAutoHyphens/>
        <w:jc w:val="center"/>
        <w:rPr>
          <w:b/>
          <w:szCs w:val="24"/>
        </w:rPr>
      </w:pPr>
    </w:p>
    <w:p w:rsidR="00FA166F" w:rsidRPr="00C52293" w:rsidRDefault="00FA166F" w:rsidP="00FA166F">
      <w:pPr>
        <w:suppressAutoHyphens/>
        <w:jc w:val="center"/>
        <w:rPr>
          <w:b/>
          <w:szCs w:val="24"/>
        </w:rPr>
      </w:pPr>
      <w:r w:rsidRPr="00C52293">
        <w:rPr>
          <w:b/>
          <w:szCs w:val="24"/>
        </w:rPr>
        <w:t>CONTENTS</w:t>
      </w:r>
    </w:p>
    <w:p w:rsidR="00FA166F" w:rsidRDefault="00FA166F" w:rsidP="00FA166F">
      <w:pPr>
        <w:suppressAutoHyphens/>
      </w:pPr>
    </w:p>
    <w:p w:rsidR="00FA166F" w:rsidRPr="002B70CF" w:rsidRDefault="00FA166F" w:rsidP="00FA166F">
      <w:pPr>
        <w:suppressAutoHyphens/>
        <w:spacing w:before="240"/>
        <w:ind w:left="851"/>
        <w:rPr>
          <w:sz w:val="22"/>
          <w:szCs w:val="22"/>
        </w:rPr>
      </w:pPr>
      <w:r w:rsidRPr="002B70CF">
        <w:rPr>
          <w:sz w:val="22"/>
          <w:szCs w:val="22"/>
        </w:rPr>
        <w:t>1.</w:t>
      </w:r>
      <w:r w:rsidRPr="002B70CF">
        <w:rPr>
          <w:sz w:val="22"/>
          <w:szCs w:val="22"/>
        </w:rPr>
        <w:tab/>
        <w:t>Introduction</w:t>
      </w:r>
    </w:p>
    <w:p w:rsidR="009B5302" w:rsidRPr="002B70CF" w:rsidRDefault="0088268A" w:rsidP="00FA166F">
      <w:pPr>
        <w:suppressAutoHyphens/>
        <w:spacing w:before="240"/>
        <w:ind w:left="851"/>
        <w:rPr>
          <w:sz w:val="22"/>
          <w:szCs w:val="22"/>
        </w:rPr>
      </w:pPr>
      <w:r>
        <w:rPr>
          <w:sz w:val="22"/>
          <w:szCs w:val="22"/>
        </w:rPr>
        <w:t>2</w:t>
      </w:r>
      <w:r w:rsidR="00FA166F" w:rsidRPr="002B70CF">
        <w:rPr>
          <w:sz w:val="22"/>
          <w:szCs w:val="22"/>
        </w:rPr>
        <w:t>.</w:t>
      </w:r>
      <w:r w:rsidR="00FA166F" w:rsidRPr="002B70CF">
        <w:rPr>
          <w:sz w:val="22"/>
          <w:szCs w:val="22"/>
        </w:rPr>
        <w:tab/>
        <w:t xml:space="preserve">Information to be Submitted and Assessment Criteria </w:t>
      </w:r>
    </w:p>
    <w:p w:rsidR="00FA166F" w:rsidRPr="002B70CF" w:rsidRDefault="0088268A" w:rsidP="00FA166F">
      <w:pPr>
        <w:suppressAutoHyphens/>
        <w:spacing w:before="240"/>
        <w:ind w:left="851"/>
        <w:rPr>
          <w:sz w:val="22"/>
          <w:szCs w:val="22"/>
        </w:rPr>
      </w:pPr>
      <w:r>
        <w:rPr>
          <w:sz w:val="22"/>
          <w:szCs w:val="22"/>
        </w:rPr>
        <w:t>3</w:t>
      </w:r>
      <w:r w:rsidR="00FA166F" w:rsidRPr="002B70CF">
        <w:rPr>
          <w:sz w:val="22"/>
          <w:szCs w:val="22"/>
        </w:rPr>
        <w:t>.</w:t>
      </w:r>
      <w:r w:rsidR="00FA166F" w:rsidRPr="002B70CF">
        <w:rPr>
          <w:sz w:val="22"/>
          <w:szCs w:val="22"/>
        </w:rPr>
        <w:tab/>
        <w:t>Conditions of Prequalification</w:t>
      </w:r>
    </w:p>
    <w:p w:rsidR="00FA166F" w:rsidRDefault="00FA166F" w:rsidP="00FA166F">
      <w:pPr>
        <w:suppressAutoHyphens/>
        <w:spacing w:before="240"/>
        <w:ind w:left="851"/>
        <w:sectPr w:rsidR="00FA166F" w:rsidSect="002B70CF">
          <w:headerReference w:type="default" r:id="rId10"/>
          <w:footerReference w:type="default" r:id="rId11"/>
          <w:type w:val="nextColumn"/>
          <w:pgSz w:w="11909" w:h="16834" w:code="9"/>
          <w:pgMar w:top="1985" w:right="1419" w:bottom="1134" w:left="1418" w:header="720" w:footer="315" w:gutter="0"/>
          <w:pgNumType w:start="0"/>
          <w:cols w:space="720"/>
          <w:titlePg/>
          <w:docGrid w:linePitch="326"/>
        </w:sectPr>
      </w:pPr>
    </w:p>
    <w:p w:rsidR="00FA166F" w:rsidRPr="007E4759" w:rsidRDefault="00FA166F" w:rsidP="00FA166F">
      <w:pPr>
        <w:suppressAutoHyphens/>
      </w:pPr>
    </w:p>
    <w:p w:rsidR="00914902" w:rsidRDefault="00914902" w:rsidP="0088268A">
      <w:pPr>
        <w:suppressAutoHyphens/>
        <w:rPr>
          <w:rFonts w:cs="Arial"/>
          <w:sz w:val="22"/>
          <w:szCs w:val="22"/>
        </w:rPr>
      </w:pPr>
    </w:p>
    <w:p w:rsidR="00FA166F" w:rsidRPr="00914902" w:rsidRDefault="00FA166F" w:rsidP="0088268A">
      <w:pPr>
        <w:suppressAutoHyphens/>
        <w:rPr>
          <w:rFonts w:cs="Arial"/>
          <w:sz w:val="22"/>
          <w:szCs w:val="22"/>
        </w:rPr>
      </w:pPr>
      <w:r w:rsidRPr="00914902">
        <w:rPr>
          <w:rFonts w:cs="Arial"/>
          <w:sz w:val="22"/>
          <w:szCs w:val="22"/>
        </w:rPr>
        <w:t>Companies wishing to</w:t>
      </w:r>
      <w:r w:rsidR="00FD6E37" w:rsidRPr="00914902">
        <w:rPr>
          <w:rFonts w:cs="Arial"/>
          <w:sz w:val="22"/>
          <w:szCs w:val="22"/>
        </w:rPr>
        <w:t xml:space="preserve"> supply</w:t>
      </w:r>
      <w:r w:rsidR="005D55ED" w:rsidRPr="00914902">
        <w:rPr>
          <w:rFonts w:cs="Arial"/>
          <w:sz w:val="22"/>
          <w:szCs w:val="22"/>
        </w:rPr>
        <w:t xml:space="preserve"> </w:t>
      </w:r>
      <w:r w:rsidR="00FD6E37" w:rsidRPr="00914902">
        <w:rPr>
          <w:rFonts w:cs="Arial"/>
          <w:sz w:val="22"/>
          <w:szCs w:val="22"/>
        </w:rPr>
        <w:t>precast concrete products in the categories listed below to</w:t>
      </w:r>
      <w:r w:rsidR="005D55ED" w:rsidRPr="00914902">
        <w:rPr>
          <w:rFonts w:cs="Arial"/>
          <w:sz w:val="22"/>
          <w:szCs w:val="22"/>
        </w:rPr>
        <w:t xml:space="preserve"> </w:t>
      </w:r>
      <w:r w:rsidRPr="00914902">
        <w:rPr>
          <w:rFonts w:cs="Arial"/>
          <w:sz w:val="22"/>
          <w:szCs w:val="22"/>
        </w:rPr>
        <w:t xml:space="preserve">the Department of Planning, Transport and Infrastructure (DPTI), or to roadworks contractors who are building roads for the </w:t>
      </w:r>
      <w:r w:rsidR="00914902">
        <w:rPr>
          <w:rFonts w:cs="Arial"/>
          <w:sz w:val="22"/>
          <w:szCs w:val="22"/>
        </w:rPr>
        <w:t>d</w:t>
      </w:r>
      <w:r w:rsidRPr="00914902">
        <w:rPr>
          <w:rFonts w:cs="Arial"/>
          <w:sz w:val="22"/>
          <w:szCs w:val="22"/>
        </w:rPr>
        <w:t xml:space="preserve">epartment, must first be prequalified.  </w:t>
      </w:r>
    </w:p>
    <w:p w:rsidR="00FA166F" w:rsidRPr="00914902" w:rsidRDefault="00FA166F" w:rsidP="0088268A">
      <w:pPr>
        <w:suppressAutoHyphens/>
        <w:ind w:hanging="11"/>
        <w:rPr>
          <w:sz w:val="22"/>
          <w:szCs w:val="22"/>
        </w:rPr>
      </w:pPr>
    </w:p>
    <w:p w:rsidR="00FD6E37" w:rsidRPr="00914902" w:rsidRDefault="00FA166F" w:rsidP="00FD6E37">
      <w:pPr>
        <w:suppressAutoHyphens/>
        <w:rPr>
          <w:sz w:val="22"/>
          <w:szCs w:val="22"/>
        </w:rPr>
      </w:pPr>
      <w:r w:rsidRPr="00914902">
        <w:rPr>
          <w:rFonts w:cs="Arial"/>
          <w:sz w:val="22"/>
          <w:szCs w:val="22"/>
        </w:rPr>
        <w:t>Prequa</w:t>
      </w:r>
      <w:r w:rsidR="005D55ED" w:rsidRPr="00914902">
        <w:rPr>
          <w:rFonts w:cs="Arial"/>
          <w:sz w:val="22"/>
          <w:szCs w:val="22"/>
        </w:rPr>
        <w:t xml:space="preserve">lification is available in </w:t>
      </w:r>
      <w:r w:rsidR="00FD6E37" w:rsidRPr="00914902">
        <w:rPr>
          <w:sz w:val="22"/>
          <w:szCs w:val="22"/>
        </w:rPr>
        <w:t>the following categories:</w:t>
      </w:r>
    </w:p>
    <w:p w:rsidR="00FD6E37" w:rsidRPr="00914902" w:rsidRDefault="00FD6E37" w:rsidP="0088268A">
      <w:pPr>
        <w:suppressAutoHyphens/>
        <w:rPr>
          <w:rFonts w:cs="Arial"/>
          <w:sz w:val="22"/>
          <w:szCs w:val="22"/>
        </w:rPr>
      </w:pPr>
    </w:p>
    <w:p w:rsidR="00FD6E37" w:rsidRPr="00914902" w:rsidRDefault="00FD6E37" w:rsidP="00FD6E37">
      <w:pPr>
        <w:pStyle w:val="BulletList"/>
        <w:tabs>
          <w:tab w:val="clear" w:pos="1134"/>
        </w:tabs>
        <w:spacing w:before="80" w:line="240" w:lineRule="auto"/>
        <w:ind w:left="567" w:firstLine="0"/>
        <w:rPr>
          <w:u w:val="single"/>
        </w:rPr>
      </w:pPr>
      <w:r w:rsidRPr="00914902">
        <w:t xml:space="preserve">PC1: </w:t>
      </w:r>
      <w:r w:rsidRPr="00914902">
        <w:tab/>
      </w:r>
      <w:r w:rsidRPr="00914902">
        <w:rPr>
          <w:u w:val="single"/>
        </w:rPr>
        <w:t>Precast Reinforced Products</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Traffic barriers</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Bridge parapets</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Wall panels (flat panels), RSS wall panels</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Noise barriers</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Wing walls and head walls (one piece or multi-piece)</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Arches</w:t>
      </w:r>
    </w:p>
    <w:p w:rsidR="00FD6E37" w:rsidRPr="00914902" w:rsidRDefault="00FD6E37" w:rsidP="00FD6E37">
      <w:pPr>
        <w:pStyle w:val="BulletList"/>
        <w:numPr>
          <w:ilvl w:val="2"/>
          <w:numId w:val="28"/>
        </w:numPr>
        <w:tabs>
          <w:tab w:val="clear" w:pos="2160"/>
          <w:tab w:val="num" w:pos="1985"/>
        </w:tabs>
        <w:spacing w:before="80" w:line="240" w:lineRule="auto"/>
        <w:ind w:hanging="742"/>
      </w:pPr>
      <w:r w:rsidRPr="00914902">
        <w:t>Piles (not pretensioned)</w:t>
      </w:r>
    </w:p>
    <w:p w:rsidR="0064123A" w:rsidRPr="00914902" w:rsidRDefault="0064123A" w:rsidP="00FD6E37">
      <w:pPr>
        <w:pStyle w:val="BulletList"/>
        <w:numPr>
          <w:ilvl w:val="2"/>
          <w:numId w:val="28"/>
        </w:numPr>
        <w:tabs>
          <w:tab w:val="clear" w:pos="2160"/>
          <w:tab w:val="num" w:pos="1985"/>
        </w:tabs>
        <w:spacing w:before="80" w:line="240" w:lineRule="auto"/>
        <w:ind w:hanging="742"/>
      </w:pPr>
      <w:r w:rsidRPr="00914902">
        <w:t>Large box culverts</w:t>
      </w:r>
    </w:p>
    <w:p w:rsidR="00FD6E37" w:rsidRPr="00914902" w:rsidRDefault="00FD6E37" w:rsidP="00FD6E37">
      <w:pPr>
        <w:pStyle w:val="BulletList"/>
        <w:tabs>
          <w:tab w:val="clear" w:pos="1134"/>
        </w:tabs>
        <w:spacing w:before="80" w:line="240" w:lineRule="auto"/>
        <w:ind w:left="567" w:firstLine="0"/>
        <w:rPr>
          <w:u w:val="single"/>
        </w:rPr>
      </w:pPr>
      <w:r w:rsidRPr="00914902">
        <w:t>PC2:</w:t>
      </w:r>
      <w:r w:rsidRPr="00914902">
        <w:tab/>
      </w:r>
      <w:r w:rsidRPr="00914902">
        <w:rPr>
          <w:u w:val="single"/>
        </w:rPr>
        <w:t>Pretensioned Products - Routine</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Piles</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Deck units</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Bridge planks</w:t>
      </w:r>
    </w:p>
    <w:p w:rsidR="00FD6E37" w:rsidRPr="00914902" w:rsidRDefault="00FD6E37" w:rsidP="00FD6E37">
      <w:pPr>
        <w:pStyle w:val="BulletList"/>
        <w:tabs>
          <w:tab w:val="clear" w:pos="1134"/>
          <w:tab w:val="num" w:pos="567"/>
        </w:tabs>
        <w:spacing w:before="80" w:line="240" w:lineRule="auto"/>
        <w:ind w:left="567" w:firstLine="0"/>
        <w:rPr>
          <w:u w:val="single"/>
        </w:rPr>
      </w:pPr>
      <w:r w:rsidRPr="00914902">
        <w:t>PC3:</w:t>
      </w:r>
      <w:r w:rsidRPr="00914902">
        <w:tab/>
      </w:r>
      <w:r w:rsidRPr="00914902">
        <w:rPr>
          <w:u w:val="single"/>
        </w:rPr>
        <w:t>Pretensioned Products - Complex</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Trough Girders</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Match cast girder segments</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Other pretensioned components</w:t>
      </w:r>
    </w:p>
    <w:p w:rsidR="00FD6E37" w:rsidRPr="00914902" w:rsidRDefault="00FD6E37" w:rsidP="00FD6E37">
      <w:pPr>
        <w:pStyle w:val="BulletList"/>
        <w:tabs>
          <w:tab w:val="clear" w:pos="1134"/>
          <w:tab w:val="num" w:pos="567"/>
        </w:tabs>
        <w:spacing w:before="80" w:line="240" w:lineRule="auto"/>
        <w:ind w:left="567" w:firstLine="0"/>
        <w:rPr>
          <w:u w:val="single"/>
        </w:rPr>
      </w:pPr>
      <w:r w:rsidRPr="00914902">
        <w:t>PC4:</w:t>
      </w:r>
      <w:r w:rsidRPr="00914902">
        <w:tab/>
      </w:r>
      <w:r w:rsidRPr="00914902">
        <w:rPr>
          <w:u w:val="single"/>
        </w:rPr>
        <w:t>Poles</w:t>
      </w:r>
    </w:p>
    <w:p w:rsidR="00FD6E37" w:rsidRPr="00914902" w:rsidRDefault="00FD6E37" w:rsidP="00FD6E37">
      <w:pPr>
        <w:pStyle w:val="BulletList"/>
        <w:numPr>
          <w:ilvl w:val="2"/>
          <w:numId w:val="28"/>
        </w:numPr>
        <w:tabs>
          <w:tab w:val="clear" w:pos="2160"/>
          <w:tab w:val="num" w:pos="1077"/>
          <w:tab w:val="num" w:pos="1985"/>
        </w:tabs>
        <w:spacing w:before="80" w:line="240" w:lineRule="auto"/>
        <w:ind w:hanging="742"/>
      </w:pPr>
      <w:r w:rsidRPr="00914902">
        <w:t>Centrifugally spun, cast or prestressed concrete poles</w:t>
      </w:r>
    </w:p>
    <w:p w:rsidR="002B70CF" w:rsidRPr="00914902" w:rsidRDefault="002B70CF" w:rsidP="0088268A">
      <w:pPr>
        <w:suppressAutoHyphens/>
        <w:jc w:val="center"/>
        <w:rPr>
          <w:rFonts w:cs="Arial"/>
          <w:sz w:val="22"/>
          <w:szCs w:val="22"/>
        </w:rPr>
      </w:pPr>
    </w:p>
    <w:p w:rsidR="00FA166F" w:rsidRPr="00914902" w:rsidRDefault="00FA166F" w:rsidP="0088268A">
      <w:pPr>
        <w:suppressAutoHyphens/>
        <w:ind w:firstLine="11"/>
        <w:rPr>
          <w:rFonts w:cs="Arial"/>
          <w:sz w:val="22"/>
          <w:szCs w:val="22"/>
        </w:rPr>
      </w:pPr>
      <w:r w:rsidRPr="00914902">
        <w:rPr>
          <w:rFonts w:cs="Arial"/>
          <w:sz w:val="22"/>
          <w:szCs w:val="22"/>
        </w:rPr>
        <w:t>Once prequalified, companies are subject to ongoing review by DPTI to ensure that the information submitted in their application remains valid and that they have performed satisfactorily when awarded contracts.</w:t>
      </w:r>
      <w:r w:rsidR="00005D75" w:rsidRPr="00914902">
        <w:rPr>
          <w:rFonts w:cs="Arial"/>
          <w:sz w:val="22"/>
          <w:szCs w:val="22"/>
        </w:rPr>
        <w:t xml:space="preserve"> </w:t>
      </w:r>
    </w:p>
    <w:p w:rsidR="00FE6655" w:rsidRPr="00914902" w:rsidRDefault="00FE6655" w:rsidP="0088268A">
      <w:pPr>
        <w:suppressAutoHyphens/>
        <w:ind w:firstLine="11"/>
        <w:rPr>
          <w:rFonts w:cs="Arial"/>
          <w:sz w:val="22"/>
          <w:szCs w:val="22"/>
        </w:rPr>
      </w:pPr>
    </w:p>
    <w:p w:rsidR="00FA166F" w:rsidRPr="00914902" w:rsidRDefault="00FA166F" w:rsidP="0088268A">
      <w:pPr>
        <w:suppressAutoHyphens/>
        <w:ind w:firstLine="11"/>
        <w:rPr>
          <w:rFonts w:cs="Arial"/>
          <w:sz w:val="22"/>
          <w:szCs w:val="22"/>
        </w:rPr>
      </w:pPr>
      <w:r w:rsidRPr="00914902">
        <w:rPr>
          <w:rFonts w:cs="Arial"/>
          <w:sz w:val="22"/>
          <w:szCs w:val="22"/>
        </w:rPr>
        <w:t>The purpose of the prequalification scheme is to minimise risks to DPTI and to reduce the effort of individual companies at the time of tender.  The scheme aims to facilitate, but not replace, tender assessment for individual projects.</w:t>
      </w:r>
    </w:p>
    <w:p w:rsidR="0064123A" w:rsidRPr="00914902" w:rsidRDefault="0064123A" w:rsidP="0088268A">
      <w:pPr>
        <w:suppressAutoHyphens/>
        <w:ind w:firstLine="11"/>
        <w:rPr>
          <w:rFonts w:cs="Arial"/>
          <w:sz w:val="22"/>
          <w:szCs w:val="22"/>
        </w:rPr>
      </w:pPr>
    </w:p>
    <w:p w:rsidR="006A757E" w:rsidRPr="00DE7B8A" w:rsidRDefault="006A757E" w:rsidP="006A757E">
      <w:pPr>
        <w:autoSpaceDE w:val="0"/>
        <w:autoSpaceDN w:val="0"/>
        <w:adjustRightInd w:val="0"/>
        <w:rPr>
          <w:rFonts w:cs="Arial"/>
          <w:sz w:val="22"/>
          <w:szCs w:val="22"/>
        </w:rPr>
      </w:pPr>
      <w:r w:rsidRPr="00DE7B8A">
        <w:rPr>
          <w:rFonts w:cs="Arial"/>
          <w:sz w:val="22"/>
          <w:szCs w:val="22"/>
        </w:rPr>
        <w:t xml:space="preserve">Prequalification </w:t>
      </w:r>
      <w:r w:rsidRPr="00DE7B8A">
        <w:rPr>
          <w:rFonts w:cs="Arial"/>
          <w:sz w:val="22"/>
          <w:szCs w:val="22"/>
        </w:rPr>
        <w:t xml:space="preserve">granted for a </w:t>
      </w:r>
      <w:proofErr w:type="spellStart"/>
      <w:r w:rsidRPr="00DE7B8A">
        <w:rPr>
          <w:rFonts w:cs="Arial"/>
          <w:sz w:val="22"/>
          <w:szCs w:val="22"/>
        </w:rPr>
        <w:t>precasting</w:t>
      </w:r>
      <w:proofErr w:type="spellEnd"/>
      <w:r w:rsidRPr="00DE7B8A">
        <w:rPr>
          <w:rFonts w:cs="Arial"/>
          <w:sz w:val="22"/>
          <w:szCs w:val="22"/>
        </w:rPr>
        <w:t xml:space="preserve"> </w:t>
      </w:r>
      <w:r w:rsidRPr="00DE7B8A">
        <w:rPr>
          <w:rFonts w:cs="Arial"/>
          <w:sz w:val="22"/>
          <w:szCs w:val="22"/>
        </w:rPr>
        <w:t xml:space="preserve">and </w:t>
      </w:r>
      <w:r w:rsidRPr="00DE7B8A">
        <w:rPr>
          <w:rFonts w:cs="Arial"/>
          <w:sz w:val="22"/>
          <w:szCs w:val="22"/>
        </w:rPr>
        <w:t>does not extend to any other facility owned/operated by the Applicant unless this has also been</w:t>
      </w:r>
      <w:r w:rsidRPr="00DE7B8A">
        <w:rPr>
          <w:rFonts w:cs="Arial"/>
          <w:sz w:val="22"/>
          <w:szCs w:val="22"/>
        </w:rPr>
        <w:t xml:space="preserve"> </w:t>
      </w:r>
      <w:r w:rsidRPr="00DE7B8A">
        <w:rPr>
          <w:rFonts w:cs="Arial"/>
          <w:sz w:val="22"/>
          <w:szCs w:val="22"/>
        </w:rPr>
        <w:t>assessed under these guidelines. Also, it does not extend to any related/subsidiary companies, which must</w:t>
      </w:r>
      <w:r w:rsidRPr="00DE7B8A">
        <w:rPr>
          <w:rFonts w:cs="Arial"/>
          <w:sz w:val="22"/>
          <w:szCs w:val="22"/>
        </w:rPr>
        <w:t xml:space="preserve"> </w:t>
      </w:r>
      <w:r w:rsidRPr="00DE7B8A">
        <w:rPr>
          <w:rFonts w:cs="Arial"/>
          <w:sz w:val="22"/>
          <w:szCs w:val="22"/>
        </w:rPr>
        <w:t>apply for prequalification in their own right if seeking prequalification.</w:t>
      </w:r>
    </w:p>
    <w:p w:rsidR="006A757E" w:rsidRDefault="006A757E" w:rsidP="006A757E">
      <w:pPr>
        <w:autoSpaceDE w:val="0"/>
        <w:autoSpaceDN w:val="0"/>
        <w:adjustRightInd w:val="0"/>
        <w:rPr>
          <w:rFonts w:cs="Arial"/>
          <w:sz w:val="20"/>
          <w:lang w:eastAsia="en-AU"/>
        </w:rPr>
      </w:pPr>
    </w:p>
    <w:p w:rsidR="009219BC" w:rsidRPr="00914902" w:rsidRDefault="0064123A" w:rsidP="006A757E">
      <w:pPr>
        <w:autoSpaceDE w:val="0"/>
        <w:autoSpaceDN w:val="0"/>
        <w:adjustRightInd w:val="0"/>
        <w:rPr>
          <w:rFonts w:cs="Arial"/>
          <w:sz w:val="22"/>
          <w:szCs w:val="22"/>
        </w:rPr>
      </w:pPr>
      <w:r w:rsidRPr="00914902">
        <w:rPr>
          <w:rFonts w:cs="Arial"/>
          <w:sz w:val="22"/>
          <w:szCs w:val="22"/>
        </w:rPr>
        <w:t>Where a prequalified company is su</w:t>
      </w:r>
      <w:bookmarkStart w:id="0" w:name="_GoBack"/>
      <w:bookmarkEnd w:id="0"/>
      <w:r w:rsidRPr="00914902">
        <w:rPr>
          <w:rFonts w:cs="Arial"/>
          <w:sz w:val="22"/>
          <w:szCs w:val="22"/>
        </w:rPr>
        <w:t xml:space="preserve">ppling precast </w:t>
      </w:r>
      <w:r w:rsidR="00914902">
        <w:rPr>
          <w:rFonts w:cs="Arial"/>
          <w:sz w:val="22"/>
          <w:szCs w:val="22"/>
        </w:rPr>
        <w:t xml:space="preserve">concrete </w:t>
      </w:r>
      <w:r w:rsidRPr="00914902">
        <w:rPr>
          <w:rFonts w:cs="Arial"/>
          <w:sz w:val="22"/>
          <w:szCs w:val="22"/>
        </w:rPr>
        <w:t>products for use on DPTI roads, the company must provide detailed drawings and design calculations (including reinforcement / prestressing drawings) directly to DPTI</w:t>
      </w:r>
      <w:r w:rsidR="009219BC" w:rsidRPr="00914902">
        <w:rPr>
          <w:rFonts w:cs="Arial"/>
          <w:sz w:val="22"/>
          <w:szCs w:val="22"/>
        </w:rPr>
        <w:t>,</w:t>
      </w:r>
      <w:r w:rsidRPr="00914902">
        <w:rPr>
          <w:rFonts w:cs="Arial"/>
          <w:sz w:val="22"/>
          <w:szCs w:val="22"/>
        </w:rPr>
        <w:t xml:space="preserve"> if these have not been provided through the contract. </w:t>
      </w:r>
      <w:r w:rsidR="00914902">
        <w:rPr>
          <w:rFonts w:cs="Arial"/>
          <w:sz w:val="22"/>
          <w:szCs w:val="22"/>
        </w:rPr>
        <w:t xml:space="preserve">These drawings and calculations are required for asset management purposes only. </w:t>
      </w:r>
      <w:r w:rsidRPr="00914902">
        <w:rPr>
          <w:rFonts w:cs="Arial"/>
          <w:sz w:val="22"/>
          <w:szCs w:val="22"/>
        </w:rPr>
        <w:t xml:space="preserve">DPTI </w:t>
      </w:r>
      <w:r w:rsidR="009219BC" w:rsidRPr="00914902">
        <w:rPr>
          <w:rFonts w:cs="Arial"/>
          <w:sz w:val="22"/>
          <w:szCs w:val="22"/>
        </w:rPr>
        <w:t>undertakes that it will maintain the confidentiality of the documents and will sign a confidentiality agreement if requested by the company.</w:t>
      </w:r>
    </w:p>
    <w:p w:rsidR="009219BC" w:rsidRDefault="009219BC">
      <w:pPr>
        <w:rPr>
          <w:rFonts w:cs="Arial"/>
          <w:szCs w:val="24"/>
          <w:lang w:eastAsia="en-AU"/>
        </w:rPr>
      </w:pPr>
      <w:r>
        <w:rPr>
          <w:rFonts w:cs="Arial"/>
          <w:szCs w:val="24"/>
          <w:lang w:eastAsia="en-AU"/>
        </w:rPr>
        <w:br w:type="page"/>
      </w:r>
    </w:p>
    <w:p w:rsidR="0064123A" w:rsidRPr="0088268A" w:rsidRDefault="0064123A" w:rsidP="0064123A">
      <w:pPr>
        <w:autoSpaceDE w:val="0"/>
        <w:autoSpaceDN w:val="0"/>
        <w:adjustRightInd w:val="0"/>
        <w:rPr>
          <w:rFonts w:cs="Arial"/>
          <w:sz w:val="22"/>
          <w:szCs w:val="22"/>
        </w:rPr>
      </w:pPr>
    </w:p>
    <w:p w:rsidR="007928C3" w:rsidRPr="0088268A" w:rsidRDefault="007928C3" w:rsidP="00B774A5">
      <w:pPr>
        <w:suppressAutoHyphens/>
        <w:ind w:left="567" w:firstLine="11"/>
        <w:rPr>
          <w:rFonts w:cs="Arial"/>
          <w:sz w:val="22"/>
          <w:szCs w:val="22"/>
        </w:rPr>
      </w:pPr>
    </w:p>
    <w:p w:rsidR="0088268A" w:rsidRPr="0088268A" w:rsidRDefault="0088268A" w:rsidP="0088268A">
      <w:pPr>
        <w:suppressAutoHyphens/>
        <w:ind w:hanging="11"/>
        <w:rPr>
          <w:sz w:val="22"/>
          <w:szCs w:val="22"/>
        </w:rPr>
      </w:pPr>
      <w:r w:rsidRPr="0088268A">
        <w:rPr>
          <w:sz w:val="22"/>
          <w:szCs w:val="22"/>
        </w:rPr>
        <w:t xml:space="preserve">Companies are invited to apply for prequalification by completing the application form (available from </w:t>
      </w:r>
      <w:hyperlink r:id="rId12" w:history="1">
        <w:r w:rsidRPr="0088268A">
          <w:rPr>
            <w:color w:val="0000FF"/>
            <w:sz w:val="22"/>
            <w:szCs w:val="22"/>
            <w:u w:val="single"/>
          </w:rPr>
          <w:t>http://www.dpti.sa.gov.au/contractor_documents/prequalification</w:t>
        </w:r>
      </w:hyperlink>
      <w:proofErr w:type="gramStart"/>
      <w:r w:rsidRPr="0088268A">
        <w:rPr>
          <w:sz w:val="22"/>
          <w:szCs w:val="22"/>
        </w:rPr>
        <w:t>)</w:t>
      </w:r>
      <w:proofErr w:type="gramEnd"/>
      <w:r>
        <w:rPr>
          <w:sz w:val="22"/>
          <w:szCs w:val="22"/>
        </w:rPr>
        <w:br/>
      </w:r>
      <w:r w:rsidRPr="0088268A">
        <w:rPr>
          <w:sz w:val="22"/>
          <w:szCs w:val="22"/>
        </w:rPr>
        <w:t>and attaching the information described in Part 2 “Information to be Submitted and Assessment Criteria”.</w:t>
      </w:r>
    </w:p>
    <w:p w:rsidR="0088268A" w:rsidRPr="0088268A" w:rsidRDefault="0088268A" w:rsidP="0088268A">
      <w:pPr>
        <w:suppressAutoHyphens/>
        <w:ind w:hanging="11"/>
        <w:rPr>
          <w:sz w:val="22"/>
          <w:szCs w:val="22"/>
        </w:rPr>
      </w:pPr>
    </w:p>
    <w:p w:rsidR="0088268A" w:rsidRPr="0088268A" w:rsidRDefault="0088268A" w:rsidP="0088268A">
      <w:pPr>
        <w:suppressAutoHyphens/>
        <w:ind w:hanging="11"/>
        <w:rPr>
          <w:bCs/>
          <w:sz w:val="22"/>
          <w:szCs w:val="22"/>
        </w:rPr>
      </w:pPr>
      <w:r w:rsidRPr="0088268A">
        <w:rPr>
          <w:bCs/>
          <w:sz w:val="22"/>
          <w:szCs w:val="22"/>
        </w:rPr>
        <w:t>The Application Form and Attachments must be submitted in accordance with the instructions on the Application Form.</w:t>
      </w:r>
    </w:p>
    <w:p w:rsidR="0088268A" w:rsidRPr="0088268A" w:rsidRDefault="0088268A" w:rsidP="0088268A">
      <w:pPr>
        <w:suppressAutoHyphens/>
        <w:ind w:left="11" w:hanging="11"/>
        <w:rPr>
          <w:sz w:val="22"/>
          <w:szCs w:val="22"/>
        </w:rPr>
      </w:pPr>
    </w:p>
    <w:p w:rsidR="0088268A" w:rsidRPr="0088268A" w:rsidRDefault="0088268A" w:rsidP="0088268A">
      <w:pPr>
        <w:suppressAutoHyphens/>
        <w:ind w:left="22"/>
        <w:rPr>
          <w:sz w:val="22"/>
          <w:szCs w:val="22"/>
        </w:rPr>
      </w:pPr>
      <w:r w:rsidRPr="0088268A">
        <w:rPr>
          <w:sz w:val="22"/>
          <w:szCs w:val="22"/>
        </w:rPr>
        <w:t>Enquiries may be directed to:</w:t>
      </w:r>
    </w:p>
    <w:p w:rsidR="0088268A" w:rsidRPr="0088268A" w:rsidRDefault="00DE7B8A" w:rsidP="0088268A">
      <w:pPr>
        <w:suppressAutoHyphens/>
        <w:spacing w:before="180"/>
        <w:ind w:left="1287" w:firstLine="153"/>
        <w:rPr>
          <w:sz w:val="22"/>
          <w:szCs w:val="22"/>
        </w:rPr>
      </w:pPr>
      <w:hyperlink r:id="rId13" w:history="1">
        <w:r w:rsidR="0088268A" w:rsidRPr="0088268A">
          <w:rPr>
            <w:bCs/>
            <w:color w:val="0000FF"/>
            <w:sz w:val="22"/>
            <w:szCs w:val="22"/>
            <w:u w:val="single"/>
          </w:rPr>
          <w:t>DPTI.Prequal@sa.gov.au</w:t>
        </w:r>
      </w:hyperlink>
      <w:r w:rsidR="0088268A" w:rsidRPr="0088268A">
        <w:rPr>
          <w:sz w:val="22"/>
          <w:szCs w:val="22"/>
        </w:rPr>
        <w:t xml:space="preserve"> or </w:t>
      </w:r>
    </w:p>
    <w:p w:rsidR="007928C3" w:rsidRDefault="007928C3" w:rsidP="00B774A5">
      <w:pPr>
        <w:suppressAutoHyphens/>
        <w:ind w:left="567" w:firstLine="11"/>
        <w:rPr>
          <w:rFonts w:cs="Arial"/>
          <w:sz w:val="22"/>
          <w:szCs w:val="22"/>
        </w:rPr>
      </w:pPr>
    </w:p>
    <w:p w:rsidR="0088268A" w:rsidRPr="005836B2" w:rsidRDefault="0088268A" w:rsidP="0088268A">
      <w:pPr>
        <w:ind w:left="1418"/>
        <w:rPr>
          <w:rFonts w:cs="Arial"/>
          <w:sz w:val="22"/>
          <w:szCs w:val="22"/>
        </w:rPr>
      </w:pPr>
      <w:r w:rsidRPr="005836B2">
        <w:rPr>
          <w:rFonts w:cs="Arial"/>
          <w:sz w:val="22"/>
          <w:szCs w:val="22"/>
        </w:rPr>
        <w:t>Technical Services</w:t>
      </w:r>
    </w:p>
    <w:p w:rsidR="007928C3" w:rsidRDefault="0088268A" w:rsidP="0088268A">
      <w:pPr>
        <w:suppressAutoHyphens/>
        <w:ind w:left="1418"/>
        <w:rPr>
          <w:rFonts w:cs="Arial"/>
          <w:sz w:val="22"/>
          <w:szCs w:val="22"/>
        </w:rPr>
      </w:pPr>
      <w:r w:rsidRPr="005836B2">
        <w:rPr>
          <w:rFonts w:cs="Arial"/>
          <w:sz w:val="22"/>
          <w:szCs w:val="22"/>
        </w:rPr>
        <w:t>Phone: (08) 8343 2</w:t>
      </w:r>
      <w:r w:rsidR="00FD6E37">
        <w:rPr>
          <w:rFonts w:cs="Arial"/>
          <w:sz w:val="22"/>
          <w:szCs w:val="22"/>
        </w:rPr>
        <w:t>495</w:t>
      </w:r>
      <w:r w:rsidRPr="005836B2">
        <w:rPr>
          <w:rFonts w:cs="Arial"/>
          <w:sz w:val="22"/>
          <w:szCs w:val="22"/>
        </w:rPr>
        <w:t>.</w:t>
      </w:r>
    </w:p>
    <w:p w:rsidR="00FA166F" w:rsidRPr="007E4759" w:rsidRDefault="00FA166F" w:rsidP="00FA166F">
      <w:pPr>
        <w:suppressAutoHyphens/>
      </w:pPr>
    </w:p>
    <w:p w:rsidR="00FD6E37" w:rsidRDefault="00FD6E37">
      <w:r>
        <w:br w:type="page"/>
      </w:r>
    </w:p>
    <w:p w:rsidR="00444AC7" w:rsidRDefault="00444AC7" w:rsidP="002D13EB">
      <w:pPr>
        <w:sectPr w:rsidR="00444AC7" w:rsidSect="00B71284">
          <w:headerReference w:type="default" r:id="rId14"/>
          <w:headerReference w:type="first" r:id="rId15"/>
          <w:pgSz w:w="11907" w:h="16840" w:code="9"/>
          <w:pgMar w:top="1758" w:right="851" w:bottom="851" w:left="1531" w:header="720" w:footer="720" w:gutter="0"/>
          <w:cols w:space="720"/>
          <w:noEndnote/>
        </w:sectPr>
      </w:pPr>
    </w:p>
    <w:p w:rsidR="004F1E90" w:rsidRPr="00D74D54" w:rsidRDefault="00444AC7" w:rsidP="004B575E">
      <w:pPr>
        <w:pStyle w:val="Header"/>
        <w:tabs>
          <w:tab w:val="clear" w:pos="4153"/>
          <w:tab w:val="clear" w:pos="8306"/>
          <w:tab w:val="left" w:pos="1134"/>
        </w:tabs>
        <w:spacing w:before="120" w:after="120"/>
        <w:rPr>
          <w:rFonts w:cs="Arial"/>
          <w:b/>
          <w:bCs/>
          <w:color w:val="943634"/>
          <w:szCs w:val="22"/>
        </w:rPr>
      </w:pPr>
      <w:r w:rsidRPr="00D74D54">
        <w:rPr>
          <w:b/>
          <w:bCs/>
          <w:color w:val="943634"/>
        </w:rPr>
        <w:t>Please provide the information listed in the column “INFORMATION TO BE SUBMITTED BY APPLICANT” in the following table:</w:t>
      </w:r>
      <w:r w:rsidR="00E36FC5" w:rsidRPr="00D74D54">
        <w:rPr>
          <w:rFonts w:cs="Arial"/>
          <w:b/>
          <w:bCs/>
          <w:color w:val="943634"/>
          <w:szCs w:val="22"/>
        </w:rPr>
        <w:t xml:space="preserve"> </w:t>
      </w:r>
    </w:p>
    <w:p w:rsidR="00444AC7" w:rsidRPr="004F1E90" w:rsidRDefault="004F1E90" w:rsidP="004B575E">
      <w:pPr>
        <w:pStyle w:val="Header"/>
        <w:tabs>
          <w:tab w:val="clear" w:pos="4153"/>
          <w:tab w:val="clear" w:pos="8306"/>
          <w:tab w:val="left" w:pos="1134"/>
        </w:tabs>
        <w:spacing w:before="120" w:after="120"/>
        <w:rPr>
          <w:rFonts w:cs="Arial"/>
          <w:bCs/>
          <w:i/>
          <w:sz w:val="16"/>
          <w:szCs w:val="16"/>
        </w:rPr>
      </w:pPr>
      <w:r w:rsidRPr="004F1E90">
        <w:rPr>
          <w:rFonts w:cs="Arial"/>
          <w:bCs/>
          <w:i/>
          <w:sz w:val="22"/>
          <w:szCs w:val="22"/>
        </w:rPr>
        <w:tab/>
      </w:r>
    </w:p>
    <w:tbl>
      <w:tblPr>
        <w:tblW w:w="217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71"/>
        <w:gridCol w:w="8838"/>
        <w:gridCol w:w="7"/>
        <w:gridCol w:w="9388"/>
        <w:gridCol w:w="15"/>
        <w:gridCol w:w="1277"/>
      </w:tblGrid>
      <w:tr w:rsidR="00444AC7" w:rsidRPr="00141B2F" w:rsidTr="00141B2F">
        <w:trPr>
          <w:trHeight w:val="479"/>
          <w:tblHeader/>
        </w:trPr>
        <w:tc>
          <w:tcPr>
            <w:tcW w:w="11116" w:type="dxa"/>
            <w:gridSpan w:val="3"/>
            <w:tcBorders>
              <w:top w:val="single" w:sz="4" w:space="0" w:color="auto"/>
              <w:left w:val="single" w:sz="4" w:space="0" w:color="000000"/>
              <w:bottom w:val="single" w:sz="4" w:space="0" w:color="auto"/>
              <w:right w:val="single" w:sz="4" w:space="0" w:color="auto"/>
            </w:tcBorders>
            <w:vAlign w:val="center"/>
          </w:tcPr>
          <w:p w:rsidR="00444AC7" w:rsidRPr="00141B2F" w:rsidRDefault="00444AC7" w:rsidP="00141B2F">
            <w:pPr>
              <w:pStyle w:val="Header"/>
              <w:tabs>
                <w:tab w:val="clear" w:pos="4153"/>
                <w:tab w:val="clear" w:pos="8306"/>
                <w:tab w:val="left" w:pos="1134"/>
              </w:tabs>
              <w:spacing w:before="80" w:after="80"/>
              <w:jc w:val="center"/>
              <w:rPr>
                <w:rFonts w:cs="Arial"/>
                <w:b/>
                <w:sz w:val="18"/>
                <w:szCs w:val="18"/>
              </w:rPr>
            </w:pPr>
          </w:p>
        </w:tc>
        <w:tc>
          <w:tcPr>
            <w:tcW w:w="106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44AC7" w:rsidRPr="00141B2F" w:rsidRDefault="00444AC7" w:rsidP="00141B2F">
            <w:pPr>
              <w:spacing w:before="80" w:after="80"/>
              <w:ind w:left="113" w:right="113"/>
              <w:jc w:val="center"/>
              <w:rPr>
                <w:rFonts w:cs="Arial"/>
                <w:b/>
                <w:i/>
                <w:sz w:val="18"/>
                <w:szCs w:val="18"/>
              </w:rPr>
            </w:pPr>
            <w:r w:rsidRPr="00141B2F">
              <w:rPr>
                <w:rFonts w:cs="Arial"/>
                <w:b/>
                <w:i/>
                <w:sz w:val="18"/>
                <w:szCs w:val="18"/>
              </w:rPr>
              <w:t xml:space="preserve">These columns for </w:t>
            </w:r>
            <w:r w:rsidR="00A75361" w:rsidRPr="00141B2F">
              <w:rPr>
                <w:rFonts w:cs="Arial"/>
                <w:b/>
                <w:i/>
                <w:sz w:val="18"/>
                <w:szCs w:val="18"/>
              </w:rPr>
              <w:t>DPTI</w:t>
            </w:r>
            <w:r w:rsidRPr="00141B2F">
              <w:rPr>
                <w:rFonts w:cs="Arial"/>
                <w:b/>
                <w:i/>
                <w:sz w:val="18"/>
                <w:szCs w:val="18"/>
              </w:rPr>
              <w:t xml:space="preserve"> use only</w:t>
            </w:r>
          </w:p>
        </w:tc>
      </w:tr>
      <w:tr w:rsidR="00444AC7" w:rsidRPr="00141B2F" w:rsidTr="00FD6E37">
        <w:trPr>
          <w:trHeight w:val="1345"/>
          <w:tblHeader/>
        </w:trPr>
        <w:tc>
          <w:tcPr>
            <w:tcW w:w="2271" w:type="dxa"/>
            <w:tcBorders>
              <w:top w:val="single" w:sz="4" w:space="0" w:color="auto"/>
              <w:left w:val="single" w:sz="4" w:space="0" w:color="000000"/>
              <w:bottom w:val="single" w:sz="4" w:space="0" w:color="auto"/>
              <w:right w:val="single" w:sz="4" w:space="0" w:color="auto"/>
            </w:tcBorders>
            <w:vAlign w:val="center"/>
          </w:tcPr>
          <w:p w:rsidR="00444AC7" w:rsidRPr="00141B2F" w:rsidRDefault="00444AC7" w:rsidP="00141B2F">
            <w:pPr>
              <w:pStyle w:val="Header"/>
              <w:tabs>
                <w:tab w:val="clear" w:pos="4153"/>
                <w:tab w:val="clear" w:pos="8306"/>
                <w:tab w:val="left" w:pos="1134"/>
              </w:tabs>
              <w:spacing w:before="80" w:after="80"/>
              <w:jc w:val="center"/>
              <w:rPr>
                <w:rFonts w:cs="Arial"/>
                <w:b/>
                <w:sz w:val="18"/>
                <w:szCs w:val="18"/>
              </w:rPr>
            </w:pPr>
            <w:r w:rsidRPr="00141B2F">
              <w:rPr>
                <w:rFonts w:cs="Arial"/>
                <w:b/>
                <w:sz w:val="18"/>
                <w:szCs w:val="18"/>
              </w:rPr>
              <w:t>SUBJECT</w:t>
            </w:r>
          </w:p>
        </w:tc>
        <w:tc>
          <w:tcPr>
            <w:tcW w:w="8845" w:type="dxa"/>
            <w:gridSpan w:val="2"/>
            <w:tcBorders>
              <w:top w:val="single" w:sz="4" w:space="0" w:color="auto"/>
              <w:left w:val="single" w:sz="4" w:space="0" w:color="auto"/>
              <w:bottom w:val="single" w:sz="4" w:space="0" w:color="auto"/>
              <w:right w:val="single" w:sz="4" w:space="0" w:color="auto"/>
            </w:tcBorders>
            <w:vAlign w:val="center"/>
          </w:tcPr>
          <w:p w:rsidR="00444AC7" w:rsidRPr="00141B2F" w:rsidRDefault="00444AC7" w:rsidP="00141B2F">
            <w:pPr>
              <w:pStyle w:val="Header"/>
              <w:tabs>
                <w:tab w:val="clear" w:pos="4153"/>
                <w:tab w:val="clear" w:pos="8306"/>
                <w:tab w:val="left" w:pos="1134"/>
              </w:tabs>
              <w:spacing w:before="80" w:after="80"/>
              <w:jc w:val="center"/>
              <w:rPr>
                <w:rFonts w:cs="Arial"/>
                <w:b/>
                <w:sz w:val="18"/>
                <w:szCs w:val="18"/>
              </w:rPr>
            </w:pPr>
            <w:r w:rsidRPr="00141B2F">
              <w:rPr>
                <w:rFonts w:cs="Arial"/>
                <w:b/>
                <w:sz w:val="18"/>
                <w:szCs w:val="18"/>
              </w:rPr>
              <w:t>INFORMATION TO BE SUBMITTED BY APPLICANT</w:t>
            </w:r>
          </w:p>
        </w:tc>
        <w:tc>
          <w:tcPr>
            <w:tcW w:w="94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44AC7" w:rsidRPr="00141B2F" w:rsidRDefault="00444AC7" w:rsidP="00141B2F">
            <w:pPr>
              <w:spacing w:before="80" w:after="80"/>
              <w:jc w:val="center"/>
              <w:rPr>
                <w:rFonts w:cs="Arial"/>
                <w:b/>
                <w:sz w:val="18"/>
                <w:szCs w:val="18"/>
              </w:rPr>
            </w:pPr>
            <w:r w:rsidRPr="00141B2F">
              <w:rPr>
                <w:rFonts w:cs="Arial"/>
                <w:b/>
                <w:sz w:val="18"/>
                <w:szCs w:val="18"/>
              </w:rPr>
              <w:t>MINIMUM REQUIREMENTS</w:t>
            </w:r>
          </w:p>
        </w:tc>
        <w:tc>
          <w:tcPr>
            <w:tcW w:w="127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444AC7" w:rsidRPr="00141B2F" w:rsidRDefault="00444AC7" w:rsidP="00141B2F">
            <w:pPr>
              <w:spacing w:before="80" w:after="80"/>
              <w:ind w:left="113" w:right="113"/>
              <w:jc w:val="center"/>
              <w:rPr>
                <w:rFonts w:cs="Arial"/>
                <w:b/>
                <w:sz w:val="18"/>
                <w:szCs w:val="18"/>
              </w:rPr>
            </w:pPr>
            <w:r w:rsidRPr="00141B2F">
              <w:rPr>
                <w:rFonts w:cs="Arial"/>
                <w:b/>
                <w:sz w:val="18"/>
                <w:szCs w:val="18"/>
              </w:rPr>
              <w:t>Meets Requirement?</w:t>
            </w:r>
          </w:p>
          <w:p w:rsidR="00444AC7" w:rsidRPr="00141B2F" w:rsidRDefault="00444AC7" w:rsidP="00141B2F">
            <w:pPr>
              <w:spacing w:before="80" w:after="80"/>
              <w:ind w:left="113" w:right="113"/>
              <w:jc w:val="center"/>
              <w:rPr>
                <w:rFonts w:cs="Arial"/>
                <w:b/>
                <w:sz w:val="18"/>
                <w:szCs w:val="18"/>
              </w:rPr>
            </w:pPr>
            <w:r w:rsidRPr="00141B2F">
              <w:rPr>
                <w:rFonts w:cs="Arial"/>
                <w:b/>
                <w:sz w:val="18"/>
                <w:szCs w:val="18"/>
              </w:rPr>
              <w:t>(Yes / No)</w:t>
            </w:r>
          </w:p>
        </w:tc>
      </w:tr>
      <w:tr w:rsidR="00FD6E37" w:rsidRPr="00231907" w:rsidTr="00FD6E37">
        <w:trPr>
          <w:trHeight w:val="703"/>
        </w:trPr>
        <w:tc>
          <w:tcPr>
            <w:tcW w:w="2271" w:type="dxa"/>
            <w:tcBorders>
              <w:top w:val="single" w:sz="4" w:space="0" w:color="auto"/>
              <w:left w:val="single" w:sz="4" w:space="0" w:color="000000"/>
              <w:bottom w:val="single" w:sz="4" w:space="0" w:color="auto"/>
              <w:right w:val="single" w:sz="4" w:space="0" w:color="auto"/>
            </w:tcBorders>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r w:rsidRPr="00231907">
              <w:rPr>
                <w:rFonts w:asciiTheme="minorHAnsi" w:hAnsiTheme="minorHAnsi" w:cs="Arial"/>
                <w:b/>
                <w:sz w:val="18"/>
                <w:szCs w:val="18"/>
              </w:rPr>
              <w:t>ORGANISATIONAL STRUCTURE</w:t>
            </w:r>
          </w:p>
        </w:tc>
        <w:tc>
          <w:tcPr>
            <w:tcW w:w="8838" w:type="dxa"/>
            <w:tcBorders>
              <w:top w:val="single" w:sz="4" w:space="0" w:color="auto"/>
              <w:left w:val="single" w:sz="4" w:space="0" w:color="auto"/>
              <w:bottom w:val="single" w:sz="4" w:space="0" w:color="auto"/>
              <w:right w:val="single" w:sz="4" w:space="0" w:color="auto"/>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Diagram showing the relationship between the Applicant and any parent and subsidiary companies (where relevant) including names of principals, directors and partners.</w:t>
            </w:r>
          </w:p>
        </w:tc>
        <w:tc>
          <w:tcPr>
            <w:tcW w:w="9395" w:type="dxa"/>
            <w:gridSpan w:val="2"/>
            <w:tcBorders>
              <w:top w:val="single" w:sz="4" w:space="0" w:color="auto"/>
              <w:left w:val="single" w:sz="4" w:space="0" w:color="auto"/>
              <w:bottom w:val="single" w:sz="4" w:space="0" w:color="auto"/>
              <w:right w:val="single" w:sz="4" w:space="0" w:color="auto"/>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r w:rsidRPr="00231907">
              <w:rPr>
                <w:rFonts w:asciiTheme="minorHAnsi" w:hAnsiTheme="minorHAnsi" w:cs="Arial"/>
                <w:sz w:val="18"/>
                <w:szCs w:val="18"/>
              </w:rPr>
              <w:t>For information only.</w:t>
            </w:r>
          </w:p>
        </w:tc>
        <w:tc>
          <w:tcPr>
            <w:tcW w:w="1292" w:type="dxa"/>
            <w:gridSpan w:val="2"/>
            <w:tcBorders>
              <w:top w:val="single" w:sz="4" w:space="0" w:color="auto"/>
              <w:left w:val="single" w:sz="4" w:space="0" w:color="auto"/>
              <w:bottom w:val="single" w:sz="4" w:space="0" w:color="auto"/>
              <w:right w:val="single" w:sz="4" w:space="0" w:color="auto"/>
            </w:tcBorders>
            <w:shd w:val="clear" w:color="auto" w:fill="E6E6E6"/>
          </w:tcPr>
          <w:p w:rsidR="00FD6E37" w:rsidRPr="00231907" w:rsidRDefault="00FD6E37" w:rsidP="00566821">
            <w:pPr>
              <w:pStyle w:val="Header"/>
              <w:tabs>
                <w:tab w:val="left" w:pos="1134"/>
              </w:tabs>
              <w:spacing w:before="80" w:after="80"/>
              <w:jc w:val="center"/>
              <w:rPr>
                <w:rFonts w:asciiTheme="minorHAnsi" w:hAnsiTheme="minorHAnsi" w:cs="Arial"/>
                <w:sz w:val="18"/>
                <w:szCs w:val="18"/>
              </w:rPr>
            </w:pPr>
            <w:r w:rsidRPr="00231907">
              <w:rPr>
                <w:rFonts w:asciiTheme="minorHAnsi" w:hAnsiTheme="minorHAnsi" w:cs="Arial"/>
                <w:sz w:val="18"/>
                <w:szCs w:val="18"/>
              </w:rPr>
              <w:t>-</w:t>
            </w: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1" w:type="dxa"/>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r w:rsidRPr="00231907">
              <w:rPr>
                <w:rFonts w:asciiTheme="minorHAnsi" w:hAnsiTheme="minorHAnsi" w:cs="Arial"/>
                <w:b/>
                <w:sz w:val="18"/>
                <w:szCs w:val="18"/>
              </w:rPr>
              <w:t>COMPANY EXPERIENCE</w:t>
            </w:r>
          </w:p>
          <w:p w:rsidR="00FD6E37" w:rsidRPr="00231907" w:rsidRDefault="00FD6E37" w:rsidP="00566821">
            <w:pPr>
              <w:pStyle w:val="Header"/>
              <w:tabs>
                <w:tab w:val="left" w:pos="284"/>
              </w:tabs>
              <w:spacing w:before="80" w:after="80"/>
              <w:ind w:left="360"/>
              <w:rPr>
                <w:rFonts w:asciiTheme="minorHAnsi" w:hAnsiTheme="minorHAnsi" w:cs="Arial"/>
                <w:b/>
                <w:sz w:val="18"/>
                <w:szCs w:val="18"/>
              </w:rPr>
            </w:pPr>
          </w:p>
        </w:tc>
        <w:tc>
          <w:tcPr>
            <w:tcW w:w="8838" w:type="dxa"/>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Details of current and completed projects that are relevant to the category for which prequalification is being sought. Details should include:</w:t>
            </w:r>
          </w:p>
          <w:p w:rsidR="00FD6E37" w:rsidRPr="00231907" w:rsidRDefault="00FD6E37" w:rsidP="00FD6E37">
            <w:pPr>
              <w:pStyle w:val="Header"/>
              <w:numPr>
                <w:ilvl w:val="0"/>
                <w:numId w:val="18"/>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Description of products manufactured;</w:t>
            </w:r>
          </w:p>
          <w:p w:rsidR="00FD6E37" w:rsidRPr="00231907" w:rsidRDefault="00FD6E37" w:rsidP="00FD6E37">
            <w:pPr>
              <w:pStyle w:val="Header"/>
              <w:numPr>
                <w:ilvl w:val="0"/>
                <w:numId w:val="18"/>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Dates of supply;</w:t>
            </w:r>
          </w:p>
          <w:p w:rsidR="00FD6E37" w:rsidRPr="00231907" w:rsidRDefault="00FD6E37" w:rsidP="00FD6E37">
            <w:pPr>
              <w:pStyle w:val="Header"/>
              <w:numPr>
                <w:ilvl w:val="0"/>
                <w:numId w:val="18"/>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Contract value; and</w:t>
            </w:r>
          </w:p>
          <w:p w:rsidR="00FD6E37" w:rsidRPr="00231907" w:rsidRDefault="00FD6E37" w:rsidP="00FD6E37">
            <w:pPr>
              <w:pStyle w:val="Header"/>
              <w:numPr>
                <w:ilvl w:val="0"/>
                <w:numId w:val="18"/>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Client – name and contact details to act as referee.</w:t>
            </w:r>
          </w:p>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Has the applicant, under any business name, ever failed to complete a contract? If yes, give details.</w:t>
            </w:r>
          </w:p>
          <w:p w:rsidR="00FD6E37" w:rsidRPr="00231907" w:rsidRDefault="00FD6E37" w:rsidP="00566821">
            <w:pPr>
              <w:pStyle w:val="Header"/>
              <w:tabs>
                <w:tab w:val="left" w:pos="1134"/>
              </w:tabs>
              <w:spacing w:before="80" w:after="80"/>
              <w:rPr>
                <w:rFonts w:asciiTheme="minorHAnsi" w:hAnsiTheme="minorHAnsi" w:cs="Arial"/>
                <w:sz w:val="18"/>
                <w:szCs w:val="18"/>
              </w:rPr>
            </w:pPr>
          </w:p>
        </w:tc>
        <w:tc>
          <w:tcPr>
            <w:tcW w:w="9395" w:type="dxa"/>
            <w:gridSpan w:val="2"/>
            <w:shd w:val="clear" w:color="auto" w:fill="E6E6E6"/>
          </w:tcPr>
          <w:p w:rsidR="00FD6E37" w:rsidRPr="00231907" w:rsidRDefault="00FD6E37" w:rsidP="00566821">
            <w:pPr>
              <w:pStyle w:val="Header"/>
              <w:tabs>
                <w:tab w:val="left" w:pos="1134"/>
              </w:tabs>
              <w:spacing w:before="120"/>
              <w:rPr>
                <w:rFonts w:asciiTheme="minorHAnsi" w:hAnsiTheme="minorHAnsi" w:cs="Arial"/>
                <w:sz w:val="18"/>
                <w:szCs w:val="18"/>
              </w:rPr>
            </w:pPr>
            <w:r w:rsidRPr="00231907">
              <w:rPr>
                <w:rFonts w:asciiTheme="minorHAnsi" w:hAnsiTheme="minorHAnsi" w:cs="Arial"/>
                <w:sz w:val="18"/>
                <w:szCs w:val="18"/>
              </w:rPr>
              <w:t>The nominated projects:</w:t>
            </w:r>
          </w:p>
          <w:p w:rsidR="00FD6E37" w:rsidRPr="00231907" w:rsidRDefault="00FD6E37" w:rsidP="00FD6E37">
            <w:pPr>
              <w:pStyle w:val="Header"/>
              <w:numPr>
                <w:ilvl w:val="0"/>
                <w:numId w:val="20"/>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demonstrate that the Applicant is competent to undertake projects in the category requested;</w:t>
            </w:r>
          </w:p>
          <w:p w:rsidR="00FD6E37" w:rsidRPr="00231907" w:rsidRDefault="00FD6E37" w:rsidP="00FD6E37">
            <w:pPr>
              <w:pStyle w:val="Header"/>
              <w:numPr>
                <w:ilvl w:val="0"/>
                <w:numId w:val="20"/>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have been manufactured at the Nominated Facility;</w:t>
            </w:r>
          </w:p>
          <w:p w:rsidR="00FD6E37" w:rsidRPr="00231907" w:rsidRDefault="00FD6E37" w:rsidP="00FD6E37">
            <w:pPr>
              <w:pStyle w:val="Header"/>
              <w:numPr>
                <w:ilvl w:val="0"/>
                <w:numId w:val="20"/>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have generally been completed with the last 4 years; and</w:t>
            </w:r>
          </w:p>
          <w:p w:rsidR="00FD6E37" w:rsidRPr="00231907" w:rsidRDefault="00FD6E37" w:rsidP="00FD6E37">
            <w:pPr>
              <w:pStyle w:val="Header"/>
              <w:numPr>
                <w:ilvl w:val="0"/>
                <w:numId w:val="20"/>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demonstrate:</w:t>
            </w:r>
          </w:p>
          <w:p w:rsidR="00FD6E37" w:rsidRPr="00231907" w:rsidRDefault="00FD6E37" w:rsidP="00FD6E37">
            <w:pPr>
              <w:numPr>
                <w:ilvl w:val="1"/>
                <w:numId w:val="17"/>
              </w:numPr>
              <w:spacing w:before="120"/>
              <w:rPr>
                <w:rFonts w:asciiTheme="minorHAnsi" w:hAnsiTheme="minorHAnsi" w:cs="Arial"/>
                <w:bCs/>
                <w:sz w:val="18"/>
                <w:szCs w:val="18"/>
              </w:rPr>
            </w:pPr>
            <w:r w:rsidRPr="00231907">
              <w:rPr>
                <w:rFonts w:asciiTheme="minorHAnsi" w:hAnsiTheme="minorHAnsi" w:cs="Arial"/>
                <w:bCs/>
                <w:sz w:val="18"/>
                <w:szCs w:val="18"/>
              </w:rPr>
              <w:t>product suitability;</w:t>
            </w:r>
          </w:p>
          <w:p w:rsidR="00FD6E37" w:rsidRPr="00231907" w:rsidRDefault="00FD6E37" w:rsidP="00FD6E37">
            <w:pPr>
              <w:numPr>
                <w:ilvl w:val="1"/>
                <w:numId w:val="17"/>
              </w:numPr>
              <w:spacing w:before="120"/>
              <w:rPr>
                <w:rFonts w:asciiTheme="minorHAnsi" w:hAnsiTheme="minorHAnsi" w:cs="Arial"/>
                <w:bCs/>
                <w:sz w:val="18"/>
                <w:szCs w:val="18"/>
              </w:rPr>
            </w:pPr>
            <w:r w:rsidRPr="00231907">
              <w:rPr>
                <w:rFonts w:asciiTheme="minorHAnsi" w:hAnsiTheme="minorHAnsi" w:cs="Arial"/>
                <w:bCs/>
                <w:sz w:val="18"/>
                <w:szCs w:val="18"/>
              </w:rPr>
              <w:t>technical competence;</w:t>
            </w:r>
          </w:p>
          <w:p w:rsidR="00FD6E37" w:rsidRPr="00231907" w:rsidRDefault="00FD6E37" w:rsidP="00FD6E37">
            <w:pPr>
              <w:numPr>
                <w:ilvl w:val="1"/>
                <w:numId w:val="17"/>
              </w:numPr>
              <w:spacing w:before="120"/>
              <w:rPr>
                <w:rFonts w:asciiTheme="minorHAnsi" w:hAnsiTheme="minorHAnsi" w:cs="Arial"/>
                <w:bCs/>
                <w:sz w:val="18"/>
                <w:szCs w:val="18"/>
              </w:rPr>
            </w:pPr>
            <w:r w:rsidRPr="00231907">
              <w:rPr>
                <w:rFonts w:asciiTheme="minorHAnsi" w:hAnsiTheme="minorHAnsi" w:cs="Arial"/>
                <w:bCs/>
                <w:sz w:val="18"/>
                <w:szCs w:val="18"/>
              </w:rPr>
              <w:t>sound relationship with clients; and</w:t>
            </w:r>
          </w:p>
          <w:p w:rsidR="00FD6E37" w:rsidRPr="00231907" w:rsidRDefault="00FD6E37" w:rsidP="00FD6E37">
            <w:pPr>
              <w:numPr>
                <w:ilvl w:val="1"/>
                <w:numId w:val="17"/>
              </w:numPr>
              <w:spacing w:before="120"/>
              <w:rPr>
                <w:rFonts w:asciiTheme="minorHAnsi" w:hAnsiTheme="minorHAnsi" w:cs="Arial"/>
                <w:bCs/>
                <w:sz w:val="18"/>
                <w:szCs w:val="18"/>
              </w:rPr>
            </w:pPr>
            <w:r w:rsidRPr="00231907">
              <w:rPr>
                <w:rFonts w:asciiTheme="minorHAnsi" w:hAnsiTheme="minorHAnsi" w:cs="Arial"/>
                <w:bCs/>
                <w:sz w:val="18"/>
                <w:szCs w:val="18"/>
              </w:rPr>
              <w:t>meeting completion dates &amp; budget.</w:t>
            </w:r>
          </w:p>
          <w:p w:rsidR="00FD6E37" w:rsidRPr="00231907" w:rsidRDefault="00FD6E37" w:rsidP="00566821">
            <w:pPr>
              <w:pStyle w:val="Header"/>
              <w:tabs>
                <w:tab w:val="left" w:pos="1134"/>
              </w:tabs>
              <w:spacing w:before="120"/>
              <w:rPr>
                <w:rFonts w:asciiTheme="minorHAnsi" w:hAnsiTheme="minorHAnsi" w:cs="Arial"/>
                <w:sz w:val="18"/>
                <w:szCs w:val="18"/>
              </w:rPr>
            </w:pPr>
            <w:r w:rsidRPr="00231907">
              <w:rPr>
                <w:rFonts w:asciiTheme="minorHAnsi" w:hAnsiTheme="minorHAnsi" w:cs="Arial"/>
                <w:sz w:val="18"/>
                <w:szCs w:val="18"/>
              </w:rPr>
              <w:t>Client reports provide evidence supporting the above.</w:t>
            </w:r>
          </w:p>
          <w:p w:rsidR="00FD6E37" w:rsidRPr="00231907" w:rsidRDefault="00FD6E37" w:rsidP="00566821">
            <w:pPr>
              <w:rPr>
                <w:rFonts w:asciiTheme="minorHAnsi" w:hAnsiTheme="minorHAnsi"/>
              </w:rPr>
            </w:pPr>
          </w:p>
        </w:tc>
        <w:tc>
          <w:tcPr>
            <w:tcW w:w="1292" w:type="dxa"/>
            <w:gridSpan w:val="2"/>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c>
          <w:tcPr>
            <w:tcW w:w="2271" w:type="dxa"/>
            <w:tcBorders>
              <w:top w:val="single" w:sz="4" w:space="0" w:color="auto"/>
              <w:left w:val="single" w:sz="4" w:space="0" w:color="auto"/>
              <w:right w:val="single" w:sz="4" w:space="0" w:color="auto"/>
            </w:tcBorders>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r w:rsidRPr="00231907">
              <w:rPr>
                <w:rFonts w:asciiTheme="minorHAnsi" w:hAnsiTheme="minorHAnsi" w:cs="Arial"/>
                <w:b/>
                <w:sz w:val="18"/>
                <w:szCs w:val="18"/>
              </w:rPr>
              <w:t xml:space="preserve">COMPANY PERSONNEL </w:t>
            </w:r>
          </w:p>
        </w:tc>
        <w:tc>
          <w:tcPr>
            <w:tcW w:w="8838" w:type="dxa"/>
            <w:tcBorders>
              <w:top w:val="single" w:sz="4" w:space="0" w:color="auto"/>
              <w:left w:val="single" w:sz="4" w:space="0" w:color="auto"/>
              <w:bottom w:val="nil"/>
              <w:right w:val="single" w:sz="4" w:space="0" w:color="auto"/>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Organisational Chart with sufficient supporting information to demonstrate that the key personnel and qualified welders meet the specified minimum requirements.</w:t>
            </w:r>
          </w:p>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Names, position titles and CV’s for senior key personnel (including senior managers, supervisors and qualified welders), clearly setting out levels of experience, qualifications in the industry and delegations / role in the organisation.</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tc>
        <w:tc>
          <w:tcPr>
            <w:tcW w:w="9395" w:type="dxa"/>
            <w:gridSpan w:val="2"/>
            <w:tcBorders>
              <w:top w:val="single" w:sz="4" w:space="0" w:color="auto"/>
              <w:left w:val="single" w:sz="4" w:space="0" w:color="auto"/>
              <w:bottom w:val="nil"/>
              <w:right w:val="single" w:sz="4" w:space="0" w:color="auto"/>
            </w:tcBorders>
            <w:shd w:val="clear" w:color="auto" w:fill="E6E6E6"/>
          </w:tcPr>
          <w:p w:rsidR="00FD6E37" w:rsidRPr="00231907" w:rsidRDefault="00FD6E37" w:rsidP="00566821">
            <w:pPr>
              <w:pStyle w:val="TableFigureLeft"/>
              <w:spacing w:before="120" w:after="0"/>
              <w:rPr>
                <w:rFonts w:asciiTheme="minorHAnsi" w:hAnsiTheme="minorHAnsi"/>
              </w:rPr>
            </w:pPr>
            <w:r w:rsidRPr="00231907">
              <w:rPr>
                <w:rFonts w:asciiTheme="minorHAnsi" w:hAnsiTheme="minorHAnsi"/>
              </w:rPr>
              <w:t>General</w:t>
            </w:r>
          </w:p>
          <w:p w:rsidR="00FD6E37" w:rsidRPr="00231907" w:rsidRDefault="00FD6E37" w:rsidP="00FD6E37">
            <w:pPr>
              <w:pStyle w:val="Header"/>
              <w:numPr>
                <w:ilvl w:val="0"/>
                <w:numId w:val="27"/>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The Nominated Facility is staffed by sufficient personnel with the appropriate skills, experience and qualifications.</w:t>
            </w:r>
          </w:p>
          <w:p w:rsidR="00FD6E37" w:rsidRPr="00231907" w:rsidRDefault="00FD6E37" w:rsidP="00FD6E37">
            <w:pPr>
              <w:pStyle w:val="Header"/>
              <w:numPr>
                <w:ilvl w:val="0"/>
                <w:numId w:val="27"/>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The  </w:t>
            </w:r>
            <w:r>
              <w:rPr>
                <w:rFonts w:asciiTheme="minorHAnsi" w:hAnsiTheme="minorHAnsi" w:cs="Arial"/>
                <w:sz w:val="18"/>
                <w:szCs w:val="18"/>
              </w:rPr>
              <w:t>Facility M</w:t>
            </w:r>
            <w:r w:rsidRPr="00231907">
              <w:rPr>
                <w:rFonts w:asciiTheme="minorHAnsi" w:hAnsiTheme="minorHAnsi" w:cs="Arial"/>
                <w:sz w:val="18"/>
                <w:szCs w:val="18"/>
              </w:rPr>
              <w:t>anager:</w:t>
            </w:r>
          </w:p>
          <w:p w:rsidR="00FD6E37" w:rsidRDefault="00FD6E37" w:rsidP="00FD6E37">
            <w:pPr>
              <w:pStyle w:val="ListParagraph"/>
              <w:numPr>
                <w:ilvl w:val="0"/>
                <w:numId w:val="27"/>
              </w:numPr>
              <w:tabs>
                <w:tab w:val="left" w:pos="1134"/>
              </w:tabs>
              <w:spacing w:after="200" w:line="276" w:lineRule="auto"/>
              <w:rPr>
                <w:lang w:val="en-US" w:eastAsia="en-US"/>
              </w:rPr>
            </w:pPr>
            <w:r>
              <w:t>Is active in operations</w:t>
            </w:r>
          </w:p>
          <w:p w:rsidR="00FD6E37" w:rsidRPr="004A161A" w:rsidRDefault="00FD6E37" w:rsidP="00FD6E37">
            <w:pPr>
              <w:numPr>
                <w:ilvl w:val="1"/>
                <w:numId w:val="17"/>
              </w:numPr>
              <w:spacing w:before="120"/>
              <w:rPr>
                <w:rFonts w:asciiTheme="minorHAnsi" w:hAnsiTheme="minorHAnsi" w:cs="Arial"/>
                <w:bCs/>
                <w:sz w:val="18"/>
                <w:szCs w:val="18"/>
              </w:rPr>
            </w:pPr>
            <w:r w:rsidRPr="004A161A">
              <w:rPr>
                <w:rFonts w:asciiTheme="minorHAnsi" w:hAnsiTheme="minorHAnsi" w:cs="Arial"/>
                <w:bCs/>
                <w:sz w:val="18"/>
                <w:szCs w:val="18"/>
              </w:rPr>
              <w:t>Has at least five years’ relevant experience for PC1, PC2, and PC4; and 10 years relevant experience for PC3.</w:t>
            </w:r>
          </w:p>
          <w:p w:rsidR="00FD6E37" w:rsidRPr="004A161A" w:rsidRDefault="00FD6E37" w:rsidP="00FD6E37">
            <w:pPr>
              <w:numPr>
                <w:ilvl w:val="1"/>
                <w:numId w:val="17"/>
              </w:numPr>
              <w:spacing w:before="120"/>
              <w:rPr>
                <w:rFonts w:asciiTheme="minorHAnsi" w:hAnsiTheme="minorHAnsi" w:cs="Arial"/>
                <w:bCs/>
                <w:sz w:val="18"/>
                <w:szCs w:val="18"/>
              </w:rPr>
            </w:pPr>
            <w:r w:rsidRPr="004A161A">
              <w:rPr>
                <w:rFonts w:asciiTheme="minorHAnsi" w:hAnsiTheme="minorHAnsi" w:cs="Arial"/>
                <w:bCs/>
                <w:sz w:val="18"/>
                <w:szCs w:val="18"/>
              </w:rPr>
              <w:t>For PC1, PC2 and PC4 has knowledge of relevant specifications, manufacturing processes and/or plant and a capability to manage such plant, and to plan and supervise processes relevant to the products being manufactured.</w:t>
            </w:r>
          </w:p>
          <w:p w:rsidR="00FD6E37" w:rsidRPr="004A161A" w:rsidRDefault="00FD6E37" w:rsidP="00FD6E37">
            <w:pPr>
              <w:numPr>
                <w:ilvl w:val="1"/>
                <w:numId w:val="17"/>
              </w:numPr>
              <w:spacing w:before="120"/>
              <w:rPr>
                <w:rFonts w:asciiTheme="minorHAnsi" w:hAnsiTheme="minorHAnsi" w:cs="Arial"/>
                <w:bCs/>
                <w:sz w:val="18"/>
                <w:szCs w:val="18"/>
              </w:rPr>
            </w:pPr>
            <w:r w:rsidRPr="004A161A">
              <w:rPr>
                <w:rFonts w:asciiTheme="minorHAnsi" w:hAnsiTheme="minorHAnsi" w:cs="Arial"/>
                <w:bCs/>
                <w:sz w:val="18"/>
                <w:szCs w:val="18"/>
              </w:rPr>
              <w:t>For PC3 has knowledge and experience of relevant specifications, manufacturing processes and/or plant and a capability to manage such plant, and to plan and supervise processes relevant to the products being manufactured.</w:t>
            </w:r>
            <w:r w:rsidRPr="004A161A">
              <w:rPr>
                <w:rFonts w:asciiTheme="minorHAnsi" w:hAnsiTheme="minorHAnsi" w:cs="Arial"/>
                <w:bCs/>
                <w:sz w:val="18"/>
                <w:szCs w:val="18"/>
              </w:rPr>
              <w:tab/>
            </w:r>
          </w:p>
          <w:p w:rsidR="00FD6E37" w:rsidRPr="00231907" w:rsidRDefault="00FD6E37" w:rsidP="00FD6E37">
            <w:pPr>
              <w:pStyle w:val="Header"/>
              <w:numPr>
                <w:ilvl w:val="0"/>
                <w:numId w:val="27"/>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The key supervisory personnel have at least five years’ relevant experience as a supervisor of a manufacturing facility relevant to the prequalification category.</w:t>
            </w:r>
          </w:p>
          <w:p w:rsidR="00FD6E37" w:rsidRPr="00231907" w:rsidRDefault="00FD6E37" w:rsidP="00FD6E37">
            <w:pPr>
              <w:pStyle w:val="Header"/>
              <w:numPr>
                <w:ilvl w:val="0"/>
                <w:numId w:val="27"/>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Competent personnel are available to certify product design (where appropriate).</w:t>
            </w:r>
          </w:p>
          <w:p w:rsidR="00FD6E37" w:rsidRPr="00231907" w:rsidRDefault="00FD6E37" w:rsidP="00FD6E37">
            <w:pPr>
              <w:pStyle w:val="Header"/>
              <w:numPr>
                <w:ilvl w:val="0"/>
                <w:numId w:val="27"/>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Key personnel have knowledge of and experience working with State Road Authority specifications or equivalent.</w:t>
            </w:r>
          </w:p>
          <w:p w:rsidR="00FD6E37" w:rsidRPr="00231907" w:rsidRDefault="00FD6E37" w:rsidP="00566821">
            <w:pPr>
              <w:pStyle w:val="Header"/>
              <w:tabs>
                <w:tab w:val="left" w:pos="1134"/>
              </w:tabs>
              <w:spacing w:before="120"/>
              <w:ind w:left="360"/>
              <w:rPr>
                <w:rFonts w:asciiTheme="minorHAnsi" w:hAnsiTheme="minorHAnsi" w:cs="Arial"/>
                <w:sz w:val="18"/>
                <w:szCs w:val="18"/>
              </w:rPr>
            </w:pPr>
          </w:p>
        </w:tc>
        <w:tc>
          <w:tcPr>
            <w:tcW w:w="1292" w:type="dxa"/>
            <w:gridSpan w:val="2"/>
            <w:tcBorders>
              <w:top w:val="single" w:sz="4" w:space="0" w:color="auto"/>
              <w:left w:val="single" w:sz="4" w:space="0" w:color="auto"/>
              <w:bottom w:val="nil"/>
              <w:right w:val="single" w:sz="4" w:space="0" w:color="auto"/>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1" w:type="dxa"/>
            <w:tcBorders>
              <w:bottom w:val="single" w:sz="4" w:space="0" w:color="auto"/>
            </w:tcBorders>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r w:rsidRPr="00231907">
              <w:rPr>
                <w:rFonts w:asciiTheme="minorHAnsi" w:hAnsiTheme="minorHAnsi" w:cs="Arial"/>
                <w:b/>
                <w:sz w:val="18"/>
                <w:szCs w:val="18"/>
              </w:rPr>
              <w:t>PLANT AND EQUIPMENT</w:t>
            </w:r>
          </w:p>
        </w:tc>
        <w:tc>
          <w:tcPr>
            <w:tcW w:w="8838" w:type="dxa"/>
            <w:tcBorders>
              <w:bottom w:val="single" w:sz="4" w:space="0" w:color="auto"/>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The following information about the plant/equipment available at the Nominated Facility:</w:t>
            </w:r>
          </w:p>
          <w:p w:rsidR="00FD6E37" w:rsidRPr="00231907" w:rsidRDefault="00FD6E37" w:rsidP="00FD6E37">
            <w:pPr>
              <w:pStyle w:val="Header"/>
              <w:numPr>
                <w:ilvl w:val="0"/>
                <w:numId w:val="18"/>
              </w:numPr>
              <w:tabs>
                <w:tab w:val="clear" w:pos="4153"/>
                <w:tab w:val="clear" w:pos="8306"/>
                <w:tab w:val="left" w:pos="1134"/>
              </w:tabs>
              <w:spacing w:before="40" w:after="60"/>
              <w:rPr>
                <w:rFonts w:asciiTheme="minorHAnsi" w:hAnsiTheme="minorHAnsi" w:cs="Arial"/>
                <w:sz w:val="18"/>
                <w:szCs w:val="18"/>
              </w:rPr>
            </w:pPr>
            <w:r w:rsidRPr="00231907">
              <w:rPr>
                <w:rFonts w:asciiTheme="minorHAnsi" w:hAnsiTheme="minorHAnsi" w:cs="Arial"/>
                <w:sz w:val="18"/>
                <w:szCs w:val="18"/>
              </w:rPr>
              <w:t>description of plant item and quantity available;</w:t>
            </w:r>
          </w:p>
          <w:p w:rsidR="00FD6E37" w:rsidRPr="00231907" w:rsidRDefault="00FD6E37" w:rsidP="00FD6E37">
            <w:pPr>
              <w:pStyle w:val="Header"/>
              <w:numPr>
                <w:ilvl w:val="0"/>
                <w:numId w:val="18"/>
              </w:numPr>
              <w:tabs>
                <w:tab w:val="clear" w:pos="4153"/>
                <w:tab w:val="clear" w:pos="8306"/>
                <w:tab w:val="left" w:pos="1134"/>
              </w:tabs>
              <w:spacing w:before="40" w:after="60"/>
              <w:rPr>
                <w:rFonts w:asciiTheme="minorHAnsi" w:hAnsiTheme="minorHAnsi" w:cs="Arial"/>
                <w:sz w:val="18"/>
                <w:szCs w:val="18"/>
              </w:rPr>
            </w:pPr>
            <w:proofErr w:type="spellStart"/>
            <w:r w:rsidRPr="00231907">
              <w:rPr>
                <w:rFonts w:asciiTheme="minorHAnsi" w:hAnsiTheme="minorHAnsi" w:cs="Arial"/>
                <w:sz w:val="18"/>
                <w:szCs w:val="18"/>
              </w:rPr>
              <w:t>NATA</w:t>
            </w:r>
            <w:proofErr w:type="spellEnd"/>
            <w:r w:rsidRPr="00231907">
              <w:rPr>
                <w:rFonts w:asciiTheme="minorHAnsi" w:hAnsiTheme="minorHAnsi" w:cs="Arial"/>
                <w:sz w:val="18"/>
                <w:szCs w:val="18"/>
              </w:rPr>
              <w:t xml:space="preserve"> endorsed calibration report for equipment used for measurement and calibration purposes;</w:t>
            </w:r>
          </w:p>
          <w:p w:rsidR="00FD6E37" w:rsidRPr="00231907" w:rsidRDefault="00FD6E37" w:rsidP="00FD6E37">
            <w:pPr>
              <w:pStyle w:val="Header"/>
              <w:numPr>
                <w:ilvl w:val="0"/>
                <w:numId w:val="18"/>
              </w:numPr>
              <w:tabs>
                <w:tab w:val="clear" w:pos="4153"/>
                <w:tab w:val="clear" w:pos="8306"/>
                <w:tab w:val="left" w:pos="1134"/>
              </w:tabs>
              <w:spacing w:before="40" w:after="60"/>
              <w:rPr>
                <w:rFonts w:asciiTheme="minorHAnsi" w:hAnsiTheme="minorHAnsi" w:cs="Arial"/>
                <w:sz w:val="18"/>
                <w:szCs w:val="18"/>
              </w:rPr>
            </w:pPr>
            <w:r w:rsidRPr="00231907">
              <w:rPr>
                <w:rFonts w:asciiTheme="minorHAnsi" w:hAnsiTheme="minorHAnsi" w:cs="Arial"/>
                <w:sz w:val="18"/>
                <w:szCs w:val="18"/>
              </w:rPr>
              <w:t>ownership and leasing details;</w:t>
            </w:r>
          </w:p>
          <w:p w:rsidR="00FD6E37" w:rsidRPr="00231907" w:rsidRDefault="00FD6E37" w:rsidP="00FD6E37">
            <w:pPr>
              <w:pStyle w:val="Header"/>
              <w:numPr>
                <w:ilvl w:val="0"/>
                <w:numId w:val="18"/>
              </w:numPr>
              <w:tabs>
                <w:tab w:val="clear" w:pos="4153"/>
                <w:tab w:val="clear" w:pos="8306"/>
                <w:tab w:val="left" w:pos="1134"/>
              </w:tabs>
              <w:spacing w:before="40" w:after="60"/>
              <w:rPr>
                <w:rFonts w:asciiTheme="minorHAnsi" w:hAnsiTheme="minorHAnsi" w:cs="Arial"/>
                <w:sz w:val="18"/>
                <w:szCs w:val="18"/>
              </w:rPr>
            </w:pPr>
            <w:r w:rsidRPr="00231907">
              <w:rPr>
                <w:rFonts w:asciiTheme="minorHAnsi" w:hAnsiTheme="minorHAnsi" w:cs="Arial"/>
                <w:sz w:val="18"/>
                <w:szCs w:val="18"/>
              </w:rPr>
              <w:t>condition of plant including year of manufacture; and</w:t>
            </w:r>
          </w:p>
          <w:p w:rsidR="00FD6E37" w:rsidRPr="00231907" w:rsidRDefault="00FD6E37" w:rsidP="00FD6E37">
            <w:pPr>
              <w:pStyle w:val="Header"/>
              <w:numPr>
                <w:ilvl w:val="0"/>
                <w:numId w:val="18"/>
              </w:numPr>
              <w:tabs>
                <w:tab w:val="clear" w:pos="4153"/>
                <w:tab w:val="clear" w:pos="8306"/>
                <w:tab w:val="left" w:pos="1134"/>
              </w:tabs>
              <w:spacing w:before="40" w:after="60"/>
              <w:rPr>
                <w:rFonts w:asciiTheme="minorHAnsi" w:hAnsiTheme="minorHAnsi" w:cs="Arial"/>
                <w:sz w:val="18"/>
                <w:szCs w:val="18"/>
              </w:rPr>
            </w:pPr>
            <w:r w:rsidRPr="00231907">
              <w:rPr>
                <w:rFonts w:asciiTheme="minorHAnsi" w:hAnsiTheme="minorHAnsi" w:cs="Arial"/>
                <w:sz w:val="18"/>
                <w:szCs w:val="18"/>
              </w:rPr>
              <w:t>maintenance / replacement programs.</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tc>
        <w:tc>
          <w:tcPr>
            <w:tcW w:w="9395" w:type="dxa"/>
            <w:gridSpan w:val="2"/>
            <w:tcBorders>
              <w:bottom w:val="single" w:sz="4" w:space="0" w:color="auto"/>
            </w:tcBorders>
            <w:shd w:val="clear" w:color="auto" w:fill="E6E6E6"/>
          </w:tcPr>
          <w:p w:rsidR="00FD6E37" w:rsidRPr="00231907" w:rsidRDefault="00FD6E37" w:rsidP="00566821">
            <w:pPr>
              <w:pStyle w:val="Header"/>
              <w:tabs>
                <w:tab w:val="left" w:pos="1134"/>
              </w:tabs>
              <w:spacing w:before="120"/>
              <w:rPr>
                <w:rFonts w:asciiTheme="minorHAnsi" w:hAnsiTheme="minorHAnsi" w:cs="Arial"/>
                <w:sz w:val="18"/>
                <w:szCs w:val="18"/>
              </w:rPr>
            </w:pPr>
            <w:r w:rsidRPr="00231907">
              <w:rPr>
                <w:rFonts w:asciiTheme="minorHAnsi" w:hAnsiTheme="minorHAnsi" w:cs="Arial"/>
                <w:bCs/>
                <w:sz w:val="18"/>
                <w:szCs w:val="18"/>
              </w:rPr>
              <w:t xml:space="preserve">Plant and equipment at the Nominated facility are: </w:t>
            </w:r>
          </w:p>
          <w:p w:rsidR="00FD6E37" w:rsidRPr="00231907" w:rsidRDefault="00FD6E37" w:rsidP="00FD6E37">
            <w:pPr>
              <w:pStyle w:val="Header"/>
              <w:numPr>
                <w:ilvl w:val="0"/>
                <w:numId w:val="26"/>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capable of manufacturing the relevant products in a safe and efficient manner;</w:t>
            </w:r>
          </w:p>
          <w:p w:rsidR="00FD6E37" w:rsidRPr="00231907" w:rsidRDefault="00FD6E37" w:rsidP="00FD6E37">
            <w:pPr>
              <w:pStyle w:val="Header"/>
              <w:numPr>
                <w:ilvl w:val="0"/>
                <w:numId w:val="26"/>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maintained in accordance with manufacturer’s recommendations;</w:t>
            </w:r>
          </w:p>
          <w:p w:rsidR="00FD6E37" w:rsidRPr="00231907" w:rsidRDefault="00FD6E37" w:rsidP="00FD6E37">
            <w:pPr>
              <w:pStyle w:val="Header"/>
              <w:numPr>
                <w:ilvl w:val="0"/>
                <w:numId w:val="26"/>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replaced or reconditioned in accordance with a program to ensure that non-compliant equipment is not used; and</w:t>
            </w:r>
          </w:p>
          <w:p w:rsidR="00FD6E37" w:rsidRPr="00231907" w:rsidRDefault="00FD6E37" w:rsidP="00FD6E37">
            <w:pPr>
              <w:pStyle w:val="Header"/>
              <w:numPr>
                <w:ilvl w:val="0"/>
                <w:numId w:val="26"/>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regularly calibrated / verified using equipment which is traceable to a </w:t>
            </w:r>
            <w:proofErr w:type="spellStart"/>
            <w:r w:rsidRPr="00231907">
              <w:rPr>
                <w:rFonts w:asciiTheme="minorHAnsi" w:hAnsiTheme="minorHAnsi" w:cs="Arial"/>
                <w:sz w:val="18"/>
                <w:szCs w:val="18"/>
              </w:rPr>
              <w:t>NATA</w:t>
            </w:r>
            <w:proofErr w:type="spellEnd"/>
            <w:r w:rsidRPr="00231907">
              <w:rPr>
                <w:rFonts w:asciiTheme="minorHAnsi" w:hAnsiTheme="minorHAnsi" w:cs="Arial"/>
                <w:sz w:val="18"/>
                <w:szCs w:val="18"/>
              </w:rPr>
              <w:t xml:space="preserve"> accredited inspection centre.</w:t>
            </w:r>
          </w:p>
          <w:p w:rsidR="00FD6E37" w:rsidRPr="00231907" w:rsidRDefault="00FD6E37" w:rsidP="00566821">
            <w:pPr>
              <w:spacing w:before="240" w:after="60"/>
              <w:rPr>
                <w:rFonts w:asciiTheme="minorHAnsi" w:hAnsiTheme="minorHAnsi" w:cs="Arial"/>
                <w:sz w:val="18"/>
                <w:szCs w:val="18"/>
              </w:rPr>
            </w:pPr>
            <w:r w:rsidRPr="00231907">
              <w:rPr>
                <w:rFonts w:asciiTheme="minorHAnsi" w:hAnsiTheme="minorHAnsi" w:cs="Arial"/>
                <w:sz w:val="18"/>
                <w:szCs w:val="18"/>
              </w:rPr>
              <w:t>Lifting operations are carried out with adequately sized overhead cranes.</w:t>
            </w:r>
          </w:p>
          <w:p w:rsidR="00FD6E37" w:rsidRPr="00231907" w:rsidRDefault="00FD6E37" w:rsidP="00566821">
            <w:pPr>
              <w:spacing w:before="40" w:after="60"/>
              <w:rPr>
                <w:rFonts w:asciiTheme="minorHAnsi" w:hAnsiTheme="minorHAnsi" w:cs="Arial"/>
                <w:sz w:val="18"/>
                <w:szCs w:val="18"/>
              </w:rPr>
            </w:pPr>
          </w:p>
        </w:tc>
        <w:tc>
          <w:tcPr>
            <w:tcW w:w="1292" w:type="dxa"/>
            <w:gridSpan w:val="2"/>
            <w:tcBorders>
              <w:bottom w:val="single" w:sz="4" w:space="0" w:color="auto"/>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1" w:type="dxa"/>
            <w:vMerge w:val="restart"/>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r w:rsidRPr="00231907">
              <w:rPr>
                <w:rFonts w:asciiTheme="minorHAnsi" w:hAnsiTheme="minorHAnsi" w:cs="Arial"/>
                <w:b/>
                <w:sz w:val="18"/>
                <w:szCs w:val="18"/>
              </w:rPr>
              <w:t>MANAGEMENT SYSTEMS and COMPLIANCE CAPABILITY</w:t>
            </w:r>
          </w:p>
          <w:p w:rsidR="00FD6E37" w:rsidRPr="00231907" w:rsidRDefault="00FD6E37" w:rsidP="00566821">
            <w:pPr>
              <w:pStyle w:val="Header"/>
              <w:tabs>
                <w:tab w:val="left" w:pos="284"/>
              </w:tabs>
              <w:spacing w:before="80" w:after="80"/>
              <w:ind w:left="360"/>
              <w:rPr>
                <w:rFonts w:asciiTheme="minorHAnsi" w:hAnsiTheme="minorHAnsi" w:cs="Arial"/>
                <w:b/>
                <w:sz w:val="18"/>
                <w:szCs w:val="18"/>
              </w:rPr>
            </w:pPr>
          </w:p>
        </w:tc>
        <w:tc>
          <w:tcPr>
            <w:tcW w:w="8838" w:type="dxa"/>
            <w:tcBorders>
              <w:bottom w:val="single" w:sz="4" w:space="0" w:color="BFBFBF"/>
            </w:tcBorders>
          </w:tcPr>
          <w:p w:rsidR="00FD6E37" w:rsidRPr="00962D78" w:rsidRDefault="00FD6E37" w:rsidP="00FD6E37">
            <w:pPr>
              <w:pStyle w:val="Header"/>
              <w:numPr>
                <w:ilvl w:val="0"/>
                <w:numId w:val="18"/>
              </w:numPr>
              <w:tabs>
                <w:tab w:val="clear" w:pos="4153"/>
                <w:tab w:val="clear" w:pos="8306"/>
                <w:tab w:val="left" w:pos="424"/>
              </w:tabs>
              <w:spacing w:before="120"/>
              <w:rPr>
                <w:rFonts w:asciiTheme="minorHAnsi" w:hAnsiTheme="minorHAnsi" w:cs="Arial"/>
                <w:sz w:val="18"/>
                <w:szCs w:val="18"/>
              </w:rPr>
            </w:pPr>
            <w:r w:rsidRPr="00962D78">
              <w:rPr>
                <w:rFonts w:asciiTheme="minorHAnsi" w:hAnsiTheme="minorHAnsi" w:cs="Arial"/>
                <w:sz w:val="18"/>
                <w:szCs w:val="18"/>
              </w:rPr>
              <w:t>Evidence of a quality management system in place that meets the requirements of AS/</w:t>
            </w:r>
            <w:proofErr w:type="spellStart"/>
            <w:r w:rsidRPr="00962D78">
              <w:rPr>
                <w:rFonts w:asciiTheme="minorHAnsi" w:hAnsiTheme="minorHAnsi" w:cs="Arial"/>
                <w:sz w:val="18"/>
                <w:szCs w:val="18"/>
              </w:rPr>
              <w:t>NZS</w:t>
            </w:r>
            <w:proofErr w:type="spellEnd"/>
            <w:r w:rsidRPr="00962D78">
              <w:rPr>
                <w:rFonts w:asciiTheme="minorHAnsi" w:hAnsiTheme="minorHAnsi" w:cs="Arial"/>
                <w:sz w:val="18"/>
                <w:szCs w:val="18"/>
              </w:rPr>
              <w:t xml:space="preserve"> ISO 9001</w:t>
            </w:r>
            <w:r>
              <w:rPr>
                <w:rFonts w:asciiTheme="minorHAnsi" w:hAnsiTheme="minorHAnsi" w:cs="Arial"/>
                <w:sz w:val="18"/>
                <w:szCs w:val="18"/>
              </w:rPr>
              <w:t>.</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p w:rsidR="00FD6E37" w:rsidRPr="00231907" w:rsidRDefault="00FD6E37" w:rsidP="00566821">
            <w:pPr>
              <w:suppressAutoHyphens/>
              <w:spacing w:before="60" w:after="60"/>
              <w:rPr>
                <w:rFonts w:asciiTheme="minorHAnsi" w:hAnsiTheme="minorHAnsi"/>
                <w:sz w:val="18"/>
                <w:szCs w:val="18"/>
              </w:rPr>
            </w:pPr>
          </w:p>
          <w:p w:rsidR="00FD6E37" w:rsidRPr="00231907" w:rsidRDefault="00FD6E37" w:rsidP="00566821">
            <w:pPr>
              <w:suppressAutoHyphens/>
              <w:spacing w:before="60" w:after="60"/>
              <w:rPr>
                <w:rFonts w:asciiTheme="minorHAnsi" w:hAnsiTheme="minorHAnsi" w:cs="Arial"/>
                <w:sz w:val="18"/>
                <w:szCs w:val="18"/>
              </w:rPr>
            </w:pPr>
          </w:p>
        </w:tc>
        <w:tc>
          <w:tcPr>
            <w:tcW w:w="9395" w:type="dxa"/>
            <w:gridSpan w:val="2"/>
            <w:tcBorders>
              <w:bottom w:val="single" w:sz="4" w:space="0" w:color="BFBFBF"/>
            </w:tcBorders>
            <w:shd w:val="clear" w:color="auto" w:fill="E6E6E6"/>
          </w:tcPr>
          <w:p w:rsidR="00FD6E37" w:rsidRPr="00231907" w:rsidRDefault="00FD6E37" w:rsidP="00566821">
            <w:pPr>
              <w:pStyle w:val="Header"/>
              <w:tabs>
                <w:tab w:val="left" w:pos="1134"/>
              </w:tabs>
              <w:spacing w:before="120"/>
              <w:rPr>
                <w:rFonts w:asciiTheme="minorHAnsi" w:hAnsiTheme="minorHAnsi" w:cs="Arial"/>
                <w:sz w:val="18"/>
                <w:szCs w:val="18"/>
              </w:rPr>
            </w:pPr>
            <w:r w:rsidRPr="00231907">
              <w:rPr>
                <w:rFonts w:asciiTheme="minorHAnsi" w:hAnsiTheme="minorHAnsi" w:cs="Arial"/>
                <w:bCs/>
                <w:sz w:val="18"/>
                <w:szCs w:val="18"/>
              </w:rPr>
              <w:t>Certif</w:t>
            </w:r>
            <w:r>
              <w:rPr>
                <w:rFonts w:asciiTheme="minorHAnsi" w:hAnsiTheme="minorHAnsi" w:cs="Arial"/>
                <w:bCs/>
                <w:sz w:val="18"/>
                <w:szCs w:val="18"/>
              </w:rPr>
              <w:t>ication in accordance with the</w:t>
            </w:r>
            <w:r w:rsidRPr="00231907">
              <w:rPr>
                <w:rFonts w:asciiTheme="minorHAnsi" w:hAnsiTheme="minorHAnsi" w:cs="Arial"/>
                <w:sz w:val="18"/>
                <w:szCs w:val="18"/>
              </w:rPr>
              <w:t xml:space="preserve"> AS/</w:t>
            </w:r>
            <w:proofErr w:type="spellStart"/>
            <w:r w:rsidRPr="00231907">
              <w:rPr>
                <w:rFonts w:asciiTheme="minorHAnsi" w:hAnsiTheme="minorHAnsi" w:cs="Arial"/>
                <w:sz w:val="18"/>
                <w:szCs w:val="18"/>
              </w:rPr>
              <w:t>NZS</w:t>
            </w:r>
            <w:proofErr w:type="spellEnd"/>
            <w:r w:rsidRPr="00231907">
              <w:rPr>
                <w:rFonts w:asciiTheme="minorHAnsi" w:hAnsiTheme="minorHAnsi" w:cs="Arial"/>
                <w:sz w:val="18"/>
                <w:szCs w:val="18"/>
              </w:rPr>
              <w:t xml:space="preserve"> ISO 9001</w:t>
            </w:r>
            <w:r>
              <w:rPr>
                <w:rFonts w:asciiTheme="minorHAnsi" w:hAnsiTheme="minorHAnsi" w:cs="Arial"/>
                <w:sz w:val="18"/>
                <w:szCs w:val="18"/>
              </w:rPr>
              <w:t>.</w:t>
            </w:r>
          </w:p>
          <w:p w:rsidR="00FD6E37" w:rsidRPr="00231907" w:rsidRDefault="00FD6E37" w:rsidP="00566821">
            <w:pPr>
              <w:pStyle w:val="Header"/>
              <w:tabs>
                <w:tab w:val="left" w:pos="1134"/>
              </w:tabs>
              <w:spacing w:before="120"/>
              <w:rPr>
                <w:rFonts w:asciiTheme="minorHAnsi" w:hAnsiTheme="minorHAnsi" w:cs="Arial"/>
                <w:bCs/>
                <w:sz w:val="18"/>
                <w:szCs w:val="18"/>
              </w:rPr>
            </w:pPr>
            <w:r w:rsidRPr="00231907">
              <w:rPr>
                <w:rFonts w:asciiTheme="minorHAnsi" w:hAnsiTheme="minorHAnsi" w:cs="Arial"/>
                <w:bCs/>
                <w:sz w:val="18"/>
                <w:szCs w:val="18"/>
              </w:rPr>
              <w:t>The ‘Scope of Certification’ must clearly state the types of products, services and processes (as well as the specific sites) covered by the certification.</w:t>
            </w:r>
          </w:p>
          <w:p w:rsidR="00FD6E37" w:rsidRPr="00231907" w:rsidRDefault="00FD6E37" w:rsidP="00566821">
            <w:pPr>
              <w:spacing w:before="120"/>
              <w:rPr>
                <w:rFonts w:asciiTheme="minorHAnsi" w:hAnsiTheme="minorHAnsi" w:cs="Arial"/>
                <w:sz w:val="18"/>
                <w:szCs w:val="18"/>
              </w:rPr>
            </w:pPr>
            <w:r w:rsidRPr="00231907">
              <w:rPr>
                <w:rFonts w:asciiTheme="minorHAnsi" w:hAnsiTheme="minorHAnsi" w:cs="Arial"/>
                <w:sz w:val="18"/>
                <w:szCs w:val="18"/>
              </w:rPr>
              <w:t>If any of the work is carried out by subcontract, the subcontractor must also fully comply with the above requirements.</w:t>
            </w:r>
          </w:p>
        </w:tc>
        <w:tc>
          <w:tcPr>
            <w:tcW w:w="1292" w:type="dxa"/>
            <w:gridSpan w:val="2"/>
            <w:tcBorders>
              <w:bottom w:val="single" w:sz="4" w:space="0" w:color="D9D9D9"/>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271" w:type="dxa"/>
            <w:vMerge/>
          </w:tcPr>
          <w:p w:rsidR="00FD6E37" w:rsidRPr="00231907" w:rsidRDefault="00FD6E37" w:rsidP="00FD6E37">
            <w:pPr>
              <w:pStyle w:val="Header"/>
              <w:numPr>
                <w:ilvl w:val="0"/>
                <w:numId w:val="19"/>
              </w:numPr>
              <w:tabs>
                <w:tab w:val="clear" w:pos="4153"/>
                <w:tab w:val="clear" w:pos="8306"/>
                <w:tab w:val="left" w:pos="284"/>
                <w:tab w:val="center" w:pos="4513"/>
                <w:tab w:val="right" w:pos="9026"/>
              </w:tabs>
              <w:spacing w:before="80" w:after="80" w:line="276" w:lineRule="auto"/>
              <w:rPr>
                <w:rFonts w:asciiTheme="minorHAnsi" w:hAnsiTheme="minorHAnsi" w:cs="Arial"/>
                <w:b/>
                <w:sz w:val="18"/>
                <w:szCs w:val="18"/>
              </w:rPr>
            </w:pPr>
          </w:p>
        </w:tc>
        <w:tc>
          <w:tcPr>
            <w:tcW w:w="8838" w:type="dxa"/>
            <w:tcBorders>
              <w:top w:val="single" w:sz="4" w:space="0" w:color="BFBFBF"/>
              <w:bottom w:val="single" w:sz="4" w:space="0" w:color="BFBFBF"/>
              <w:right w:val="single" w:sz="4" w:space="0" w:color="000000"/>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Copy of recent quality management system / technical compliance audits.</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tc>
        <w:tc>
          <w:tcPr>
            <w:tcW w:w="9395" w:type="dxa"/>
            <w:gridSpan w:val="2"/>
            <w:tcBorders>
              <w:top w:val="single" w:sz="4" w:space="0" w:color="BFBFBF"/>
              <w:left w:val="single" w:sz="4" w:space="0" w:color="000000"/>
              <w:bottom w:val="single" w:sz="4" w:space="0" w:color="BFBFBF"/>
              <w:right w:val="single" w:sz="4" w:space="0" w:color="000000"/>
            </w:tcBorders>
            <w:shd w:val="clear" w:color="auto" w:fill="E6E6E6"/>
          </w:tcPr>
          <w:p w:rsidR="00FD6E37" w:rsidRPr="00231907" w:rsidRDefault="00FD6E37" w:rsidP="00566821">
            <w:pPr>
              <w:pStyle w:val="TableFigureLeft"/>
              <w:spacing w:before="120" w:after="0"/>
              <w:rPr>
                <w:rFonts w:asciiTheme="minorHAnsi" w:hAnsiTheme="minorHAnsi"/>
              </w:rPr>
            </w:pPr>
            <w:r w:rsidRPr="00231907">
              <w:rPr>
                <w:rFonts w:asciiTheme="minorHAnsi" w:hAnsiTheme="minorHAnsi"/>
              </w:rPr>
              <w:t>Results of compliance audits show system demonstrate that the system is working and any non-conformances have been dealt with effectively.  In particular, the results should demonstrate the ability of the quality management system to:</w:t>
            </w:r>
          </w:p>
          <w:p w:rsidR="00FD6E37" w:rsidRPr="00231907" w:rsidRDefault="00FD6E37" w:rsidP="00FD6E37">
            <w:pPr>
              <w:pStyle w:val="Header"/>
              <w:numPr>
                <w:ilvl w:val="0"/>
                <w:numId w:val="25"/>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control, document and ensure traceability of the products manufactured and/or distributed </w:t>
            </w:r>
          </w:p>
          <w:p w:rsidR="00FD6E37" w:rsidRPr="00231907" w:rsidRDefault="00FD6E37" w:rsidP="00FD6E37">
            <w:pPr>
              <w:pStyle w:val="Header"/>
              <w:numPr>
                <w:ilvl w:val="0"/>
                <w:numId w:val="25"/>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ensure adequate records of testing data from actual products produced are maintained </w:t>
            </w:r>
          </w:p>
          <w:p w:rsidR="00FD6E37" w:rsidRPr="00231907" w:rsidRDefault="00FD6E37" w:rsidP="00FD6E37">
            <w:pPr>
              <w:pStyle w:val="Header"/>
              <w:numPr>
                <w:ilvl w:val="0"/>
                <w:numId w:val="25"/>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identify and isolate non-conforming products and identify the cause(s) of the non-conformance</w:t>
            </w:r>
          </w:p>
          <w:p w:rsidR="00FD6E37" w:rsidRPr="00231907" w:rsidRDefault="00FD6E37" w:rsidP="00FD6E37">
            <w:pPr>
              <w:pStyle w:val="Header"/>
              <w:numPr>
                <w:ilvl w:val="0"/>
                <w:numId w:val="25"/>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identify, isolate and correct non-conforming processes</w:t>
            </w:r>
          </w:p>
          <w:p w:rsidR="00FD6E37" w:rsidRPr="00231907" w:rsidRDefault="00FD6E37" w:rsidP="00FD6E37">
            <w:pPr>
              <w:pStyle w:val="Header"/>
              <w:numPr>
                <w:ilvl w:val="0"/>
                <w:numId w:val="25"/>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advise appropriate parties e.g. contract superintendents of the non-conformances</w:t>
            </w:r>
          </w:p>
          <w:p w:rsidR="00FD6E37" w:rsidRPr="00231907" w:rsidRDefault="00FD6E37" w:rsidP="00FD6E37">
            <w:pPr>
              <w:pStyle w:val="Header"/>
              <w:numPr>
                <w:ilvl w:val="0"/>
                <w:numId w:val="25"/>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prevent further supply of non-conforming products.</w:t>
            </w:r>
          </w:p>
          <w:p w:rsidR="00FD6E37" w:rsidRPr="00231907" w:rsidRDefault="00FD6E37" w:rsidP="00566821">
            <w:pPr>
              <w:pStyle w:val="Header"/>
              <w:tabs>
                <w:tab w:val="left" w:pos="1134"/>
              </w:tabs>
              <w:spacing w:before="120"/>
              <w:rPr>
                <w:rFonts w:asciiTheme="minorHAnsi" w:hAnsiTheme="minorHAnsi" w:cs="Arial"/>
                <w:sz w:val="18"/>
                <w:szCs w:val="18"/>
              </w:rPr>
            </w:pPr>
          </w:p>
        </w:tc>
        <w:tc>
          <w:tcPr>
            <w:tcW w:w="1292" w:type="dxa"/>
            <w:gridSpan w:val="2"/>
            <w:tcBorders>
              <w:top w:val="single" w:sz="4" w:space="0" w:color="D9D9D9"/>
              <w:left w:val="single" w:sz="4" w:space="0" w:color="000000"/>
              <w:bottom w:val="single" w:sz="4" w:space="0" w:color="BFBFBF"/>
              <w:right w:val="single" w:sz="4" w:space="0" w:color="000000"/>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271" w:type="dxa"/>
            <w:vMerge/>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p>
        </w:tc>
        <w:tc>
          <w:tcPr>
            <w:tcW w:w="8838" w:type="dxa"/>
            <w:tcBorders>
              <w:top w:val="single" w:sz="4" w:space="0" w:color="BFBFBF"/>
              <w:bottom w:val="single" w:sz="4" w:space="0" w:color="BFBFBF"/>
              <w:right w:val="single" w:sz="4" w:space="0" w:color="000000"/>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Copy of relevant procedures</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tc>
        <w:tc>
          <w:tcPr>
            <w:tcW w:w="9395" w:type="dxa"/>
            <w:gridSpan w:val="2"/>
            <w:tcBorders>
              <w:top w:val="single" w:sz="4" w:space="0" w:color="BFBFBF"/>
              <w:left w:val="single" w:sz="4" w:space="0" w:color="000000"/>
              <w:bottom w:val="single" w:sz="4" w:space="0" w:color="BFBFBF"/>
              <w:right w:val="single" w:sz="4" w:space="0" w:color="000000"/>
            </w:tcBorders>
            <w:shd w:val="clear" w:color="auto" w:fill="E6E6E6"/>
          </w:tcPr>
          <w:p w:rsidR="00FD6E37" w:rsidRPr="00231907" w:rsidRDefault="00FD6E37" w:rsidP="00566821">
            <w:pPr>
              <w:pStyle w:val="TableFigureLevel1Bullet"/>
              <w:keepNext/>
              <w:keepLines/>
              <w:numPr>
                <w:ilvl w:val="0"/>
                <w:numId w:val="0"/>
              </w:numPr>
              <w:spacing w:before="120" w:after="0"/>
              <w:rPr>
                <w:rFonts w:asciiTheme="minorHAnsi" w:hAnsiTheme="minorHAnsi" w:cs="Arial"/>
              </w:rPr>
            </w:pPr>
            <w:r w:rsidRPr="00231907">
              <w:rPr>
                <w:rFonts w:asciiTheme="minorHAnsi" w:hAnsiTheme="minorHAnsi" w:cs="Arial"/>
              </w:rPr>
              <w:t>Procedures are appropriate for certification against the relevant Australian Standards and schemes.</w:t>
            </w:r>
          </w:p>
          <w:p w:rsidR="00FD6E37" w:rsidRPr="00231907" w:rsidRDefault="00FD6E37" w:rsidP="00566821">
            <w:pPr>
              <w:pStyle w:val="TableFigureLevel1Bullet"/>
              <w:keepNext/>
              <w:keepLines/>
              <w:numPr>
                <w:ilvl w:val="0"/>
                <w:numId w:val="0"/>
              </w:numPr>
              <w:spacing w:before="120" w:after="0"/>
              <w:rPr>
                <w:rFonts w:asciiTheme="minorHAnsi" w:hAnsiTheme="minorHAnsi" w:cs="Arial"/>
              </w:rPr>
            </w:pPr>
            <w:r w:rsidRPr="00231907">
              <w:rPr>
                <w:rFonts w:asciiTheme="minorHAnsi" w:hAnsiTheme="minorHAnsi" w:cs="Arial"/>
              </w:rPr>
              <w:t>At a minimum, the procedures satisfactorily address:</w:t>
            </w:r>
          </w:p>
          <w:p w:rsidR="00FD6E37" w:rsidRPr="00231907" w:rsidRDefault="00FD6E37" w:rsidP="00FD6E37">
            <w:pPr>
              <w:pStyle w:val="Header"/>
              <w:numPr>
                <w:ilvl w:val="0"/>
                <w:numId w:val="23"/>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Ensuring materials conform to specified requirements;</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preparation, assembly and fabrication of reinforcing cages and moulds; </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placement, vibrating and curing of concrete;</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prestressing (where relevant);</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transportation, handling, and storage / packaging;</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geometric tolerance;</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inspection and testing; and</w:t>
            </w:r>
          </w:p>
          <w:p w:rsidR="00FD6E37" w:rsidRPr="00231907" w:rsidRDefault="00FD6E37" w:rsidP="00FD6E37">
            <w:pPr>
              <w:pStyle w:val="Header"/>
              <w:numPr>
                <w:ilvl w:val="0"/>
                <w:numId w:val="24"/>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repair of non-conforming product. </w:t>
            </w:r>
          </w:p>
          <w:p w:rsidR="00FD6E37" w:rsidRPr="00231907" w:rsidRDefault="00FD6E37" w:rsidP="00566821">
            <w:pPr>
              <w:pStyle w:val="TableFigureLevel1Bullet"/>
              <w:keepNext/>
              <w:keepLines/>
              <w:numPr>
                <w:ilvl w:val="0"/>
                <w:numId w:val="0"/>
              </w:numPr>
              <w:spacing w:before="120" w:after="0"/>
              <w:rPr>
                <w:rFonts w:asciiTheme="minorHAnsi" w:hAnsiTheme="minorHAnsi" w:cs="Arial"/>
              </w:rPr>
            </w:pPr>
            <w:r w:rsidRPr="00231907">
              <w:rPr>
                <w:rFonts w:asciiTheme="minorHAnsi" w:hAnsiTheme="minorHAnsi" w:cs="Arial"/>
              </w:rPr>
              <w:t>The procedures ensure that:</w:t>
            </w:r>
          </w:p>
          <w:p w:rsidR="00FD6E37" w:rsidRPr="00231907" w:rsidRDefault="00FD6E37" w:rsidP="00FD6E37">
            <w:pPr>
              <w:pStyle w:val="Header"/>
              <w:numPr>
                <w:ilvl w:val="0"/>
                <w:numId w:val="22"/>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the roles, responsibilities and delegations of personnel are properly defined;</w:t>
            </w:r>
          </w:p>
          <w:p w:rsidR="00FD6E37" w:rsidRPr="00231907" w:rsidRDefault="00FD6E37" w:rsidP="00FD6E37">
            <w:pPr>
              <w:pStyle w:val="Header"/>
              <w:numPr>
                <w:ilvl w:val="0"/>
                <w:numId w:val="22"/>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documentation is reviewed to confirm relevance, accuracy and completeness;</w:t>
            </w:r>
          </w:p>
          <w:p w:rsidR="00FD6E37" w:rsidRPr="00231907" w:rsidRDefault="00FD6E37" w:rsidP="00FD6E37">
            <w:pPr>
              <w:pStyle w:val="Header"/>
              <w:numPr>
                <w:ilvl w:val="0"/>
                <w:numId w:val="22"/>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work and materials are traceable as well as identifiable; </w:t>
            </w:r>
          </w:p>
          <w:p w:rsidR="00FD6E37" w:rsidRPr="00231907" w:rsidRDefault="00FD6E37" w:rsidP="00FD6E37">
            <w:pPr>
              <w:pStyle w:val="Header"/>
              <w:numPr>
                <w:ilvl w:val="0"/>
                <w:numId w:val="22"/>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Inspection and test procedures are prepared  that address the requirements of contract documents (e.g. drawings, standards and specifications); </w:t>
            </w:r>
          </w:p>
          <w:p w:rsidR="00FD6E37" w:rsidRPr="00231907" w:rsidRDefault="00FD6E37" w:rsidP="00FD6E37">
            <w:pPr>
              <w:pStyle w:val="Header"/>
              <w:numPr>
                <w:ilvl w:val="0"/>
                <w:numId w:val="22"/>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any subcontracted work fully complies with the system requirements. </w:t>
            </w:r>
          </w:p>
          <w:p w:rsidR="00FD6E37" w:rsidRPr="00231907" w:rsidRDefault="00FD6E37" w:rsidP="00566821">
            <w:pPr>
              <w:pStyle w:val="TableFigureLevel1Bullet"/>
              <w:keepNext/>
              <w:keepLines/>
              <w:numPr>
                <w:ilvl w:val="0"/>
                <w:numId w:val="0"/>
              </w:numPr>
              <w:spacing w:before="120" w:after="0"/>
              <w:rPr>
                <w:rFonts w:asciiTheme="minorHAnsi" w:hAnsiTheme="minorHAnsi" w:cs="Arial"/>
                <w:highlight w:val="yellow"/>
              </w:rPr>
            </w:pPr>
          </w:p>
        </w:tc>
        <w:tc>
          <w:tcPr>
            <w:tcW w:w="1292" w:type="dxa"/>
            <w:gridSpan w:val="2"/>
            <w:tcBorders>
              <w:top w:val="single" w:sz="4" w:space="0" w:color="BFBFBF"/>
              <w:left w:val="single" w:sz="4" w:space="0" w:color="000000"/>
              <w:bottom w:val="single" w:sz="4" w:space="0" w:color="BFBFBF"/>
              <w:right w:val="single" w:sz="4" w:space="0" w:color="000000"/>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6"/>
        </w:trPr>
        <w:tc>
          <w:tcPr>
            <w:tcW w:w="2271" w:type="dxa"/>
            <w:vMerge/>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p>
        </w:tc>
        <w:tc>
          <w:tcPr>
            <w:tcW w:w="8838" w:type="dxa"/>
            <w:tcBorders>
              <w:top w:val="single" w:sz="4" w:space="0" w:color="BFBFBF"/>
              <w:right w:val="single" w:sz="4" w:space="0" w:color="000000"/>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 xml:space="preserve">Example Quality Plan and Inspection and Test Plan. </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tc>
        <w:tc>
          <w:tcPr>
            <w:tcW w:w="9395" w:type="dxa"/>
            <w:gridSpan w:val="2"/>
            <w:tcBorders>
              <w:top w:val="single" w:sz="4" w:space="0" w:color="BFBFBF"/>
              <w:left w:val="single" w:sz="4" w:space="0" w:color="000000"/>
              <w:right w:val="single" w:sz="4" w:space="0" w:color="000000"/>
            </w:tcBorders>
            <w:shd w:val="clear" w:color="auto" w:fill="E6E6E6"/>
          </w:tcPr>
          <w:p w:rsidR="00FD6E37" w:rsidRPr="00231907" w:rsidRDefault="00FD6E37" w:rsidP="00566821">
            <w:pPr>
              <w:pStyle w:val="TableFigureLeft"/>
              <w:spacing w:before="120" w:after="0"/>
              <w:rPr>
                <w:rFonts w:asciiTheme="minorHAnsi" w:hAnsiTheme="minorHAnsi"/>
              </w:rPr>
            </w:pPr>
            <w:r w:rsidRPr="00231907">
              <w:rPr>
                <w:rFonts w:asciiTheme="minorHAnsi" w:hAnsiTheme="minorHAnsi"/>
              </w:rPr>
              <w:t>The Quality Plan is in accordance with AS/</w:t>
            </w:r>
            <w:proofErr w:type="spellStart"/>
            <w:r w:rsidRPr="00231907">
              <w:rPr>
                <w:rFonts w:asciiTheme="minorHAnsi" w:hAnsiTheme="minorHAnsi"/>
              </w:rPr>
              <w:t>NZS</w:t>
            </w:r>
            <w:proofErr w:type="spellEnd"/>
            <w:r w:rsidRPr="00231907">
              <w:rPr>
                <w:rFonts w:asciiTheme="minorHAnsi" w:hAnsiTheme="minorHAnsi"/>
              </w:rPr>
              <w:t xml:space="preserve"> ISO 10005 and is appropriate for the prequalification category. </w:t>
            </w:r>
          </w:p>
          <w:p w:rsidR="00FD6E37" w:rsidRPr="00231907" w:rsidRDefault="00FD6E37" w:rsidP="00566821">
            <w:pPr>
              <w:pStyle w:val="TableFigureLeft"/>
              <w:spacing w:before="120" w:after="0"/>
              <w:rPr>
                <w:rFonts w:asciiTheme="minorHAnsi" w:hAnsiTheme="minorHAnsi"/>
              </w:rPr>
            </w:pPr>
            <w:r w:rsidRPr="00231907">
              <w:rPr>
                <w:rFonts w:asciiTheme="minorHAnsi" w:hAnsiTheme="minorHAnsi"/>
              </w:rPr>
              <w:t>The Inspection and Test Plan:</w:t>
            </w:r>
          </w:p>
          <w:p w:rsidR="00FD6E37" w:rsidRPr="00231907" w:rsidRDefault="00FD6E37" w:rsidP="00FD6E37">
            <w:pPr>
              <w:pStyle w:val="Header"/>
              <w:numPr>
                <w:ilvl w:val="0"/>
                <w:numId w:val="21"/>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is adequate for the prequalification category;</w:t>
            </w:r>
          </w:p>
          <w:p w:rsidR="00FD6E37" w:rsidRPr="00231907" w:rsidRDefault="00FD6E37" w:rsidP="00FD6E37">
            <w:pPr>
              <w:pStyle w:val="Header"/>
              <w:numPr>
                <w:ilvl w:val="0"/>
                <w:numId w:val="21"/>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includes references to the relevant specifications for the products supplied; and</w:t>
            </w:r>
          </w:p>
          <w:p w:rsidR="00FD6E37" w:rsidRPr="00231907" w:rsidRDefault="00FD6E37" w:rsidP="00FD6E37">
            <w:pPr>
              <w:pStyle w:val="Header"/>
              <w:numPr>
                <w:ilvl w:val="0"/>
                <w:numId w:val="21"/>
              </w:numPr>
              <w:tabs>
                <w:tab w:val="clear" w:pos="4153"/>
                <w:tab w:val="clear" w:pos="8306"/>
                <w:tab w:val="left" w:pos="1134"/>
              </w:tabs>
              <w:spacing w:before="120"/>
              <w:rPr>
                <w:rFonts w:asciiTheme="minorHAnsi" w:hAnsiTheme="minorHAnsi" w:cs="Arial"/>
                <w:sz w:val="18"/>
                <w:szCs w:val="18"/>
              </w:rPr>
            </w:pPr>
            <w:r w:rsidRPr="00231907">
              <w:rPr>
                <w:rFonts w:asciiTheme="minorHAnsi" w:hAnsiTheme="minorHAnsi" w:cs="Arial"/>
                <w:sz w:val="18"/>
                <w:szCs w:val="18"/>
              </w:rPr>
              <w:t xml:space="preserve">includes references to any </w:t>
            </w:r>
            <w:proofErr w:type="gramStart"/>
            <w:r w:rsidRPr="00231907">
              <w:rPr>
                <w:rFonts w:asciiTheme="minorHAnsi" w:hAnsiTheme="minorHAnsi" w:cs="Arial"/>
                <w:sz w:val="18"/>
                <w:szCs w:val="18"/>
              </w:rPr>
              <w:t>relevant  work</w:t>
            </w:r>
            <w:proofErr w:type="gramEnd"/>
            <w:r w:rsidRPr="00231907">
              <w:rPr>
                <w:rFonts w:asciiTheme="minorHAnsi" w:hAnsiTheme="minorHAnsi" w:cs="Arial"/>
                <w:sz w:val="18"/>
                <w:szCs w:val="18"/>
              </w:rPr>
              <w:t xml:space="preserve"> method statements.</w:t>
            </w:r>
          </w:p>
          <w:p w:rsidR="00FD6E37" w:rsidRPr="00231907" w:rsidRDefault="00FD6E37" w:rsidP="00566821">
            <w:pPr>
              <w:pStyle w:val="Header"/>
              <w:tabs>
                <w:tab w:val="left" w:pos="1134"/>
              </w:tabs>
              <w:spacing w:before="80" w:after="80"/>
              <w:rPr>
                <w:rFonts w:asciiTheme="minorHAnsi" w:hAnsiTheme="minorHAnsi" w:cs="Arial"/>
                <w:sz w:val="18"/>
                <w:szCs w:val="18"/>
              </w:rPr>
            </w:pPr>
          </w:p>
        </w:tc>
        <w:tc>
          <w:tcPr>
            <w:tcW w:w="1292" w:type="dxa"/>
            <w:gridSpan w:val="2"/>
            <w:tcBorders>
              <w:top w:val="single" w:sz="4" w:space="0" w:color="BFBFBF"/>
              <w:left w:val="single" w:sz="4" w:space="0" w:color="000000"/>
              <w:right w:val="single" w:sz="4" w:space="0" w:color="000000"/>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trPr>
        <w:tc>
          <w:tcPr>
            <w:tcW w:w="2271" w:type="dxa"/>
            <w:vMerge w:val="restart"/>
            <w:tcBorders>
              <w:top w:val="single" w:sz="4" w:space="0" w:color="000000"/>
            </w:tcBorders>
          </w:tcPr>
          <w:p w:rsidR="00FD6E37" w:rsidRPr="00231907" w:rsidRDefault="00FD6E37" w:rsidP="00FD6E37">
            <w:pPr>
              <w:pStyle w:val="Header"/>
              <w:numPr>
                <w:ilvl w:val="0"/>
                <w:numId w:val="19"/>
              </w:numPr>
              <w:tabs>
                <w:tab w:val="clear" w:pos="4153"/>
                <w:tab w:val="clear" w:pos="8306"/>
                <w:tab w:val="left" w:pos="284"/>
              </w:tabs>
              <w:spacing w:before="80" w:after="80"/>
              <w:rPr>
                <w:rFonts w:asciiTheme="minorHAnsi" w:hAnsiTheme="minorHAnsi" w:cs="Arial"/>
                <w:b/>
                <w:sz w:val="18"/>
                <w:szCs w:val="18"/>
              </w:rPr>
            </w:pPr>
            <w:r w:rsidRPr="00231907">
              <w:rPr>
                <w:rFonts w:asciiTheme="minorHAnsi" w:hAnsiTheme="minorHAnsi" w:cs="Arial"/>
                <w:b/>
                <w:sz w:val="18"/>
                <w:szCs w:val="18"/>
              </w:rPr>
              <w:t>WORK HEALTH &amp; SAFETY (</w:t>
            </w:r>
            <w:proofErr w:type="spellStart"/>
            <w:r w:rsidRPr="00231907">
              <w:rPr>
                <w:rFonts w:asciiTheme="minorHAnsi" w:hAnsiTheme="minorHAnsi" w:cs="Arial"/>
                <w:b/>
                <w:sz w:val="18"/>
                <w:szCs w:val="18"/>
              </w:rPr>
              <w:t>WHS</w:t>
            </w:r>
            <w:proofErr w:type="spellEnd"/>
            <w:r w:rsidRPr="00231907">
              <w:rPr>
                <w:rFonts w:asciiTheme="minorHAnsi" w:hAnsiTheme="minorHAnsi" w:cs="Arial"/>
                <w:b/>
                <w:sz w:val="18"/>
                <w:szCs w:val="18"/>
              </w:rPr>
              <w:t>)</w:t>
            </w:r>
          </w:p>
        </w:tc>
        <w:tc>
          <w:tcPr>
            <w:tcW w:w="8838" w:type="dxa"/>
            <w:tcBorders>
              <w:top w:val="single" w:sz="4" w:space="0" w:color="000000"/>
              <w:bottom w:val="single" w:sz="4" w:space="0" w:color="BFBFBF"/>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 xml:space="preserve">Copy of certification of </w:t>
            </w:r>
            <w:proofErr w:type="spellStart"/>
            <w:r w:rsidRPr="00231907">
              <w:rPr>
                <w:rFonts w:asciiTheme="minorHAnsi" w:hAnsiTheme="minorHAnsi" w:cs="Arial"/>
                <w:sz w:val="18"/>
                <w:szCs w:val="18"/>
              </w:rPr>
              <w:t>WHS</w:t>
            </w:r>
            <w:proofErr w:type="spellEnd"/>
            <w:r w:rsidRPr="00231907">
              <w:rPr>
                <w:rFonts w:asciiTheme="minorHAnsi" w:hAnsiTheme="minorHAnsi" w:cs="Arial"/>
                <w:sz w:val="18"/>
                <w:szCs w:val="18"/>
              </w:rPr>
              <w:t xml:space="preserve"> Management System </w:t>
            </w:r>
            <w:r w:rsidRPr="00231907">
              <w:rPr>
                <w:rFonts w:asciiTheme="minorHAnsi" w:hAnsiTheme="minorHAnsi" w:cs="Arial"/>
                <w:sz w:val="18"/>
                <w:szCs w:val="18"/>
              </w:rPr>
              <w:br/>
              <w:t xml:space="preserve">(to AS / ISO 4801 or equivalent); </w:t>
            </w:r>
          </w:p>
          <w:p w:rsidR="00FD6E37" w:rsidRPr="00231907" w:rsidRDefault="00FD6E37" w:rsidP="00566821">
            <w:pPr>
              <w:ind w:left="281"/>
              <w:rPr>
                <w:rFonts w:asciiTheme="minorHAnsi" w:hAnsiTheme="minorHAnsi" w:cs="Arial"/>
                <w:i/>
                <w:sz w:val="18"/>
                <w:szCs w:val="18"/>
              </w:rPr>
            </w:pPr>
            <w:r w:rsidRPr="00231907">
              <w:rPr>
                <w:rFonts w:asciiTheme="minorHAnsi" w:hAnsiTheme="minorHAnsi" w:cs="Arial"/>
                <w:i/>
                <w:sz w:val="18"/>
                <w:szCs w:val="18"/>
              </w:rPr>
              <w:t>or</w:t>
            </w:r>
          </w:p>
          <w:p w:rsidR="00FD6E37" w:rsidRPr="00231907" w:rsidRDefault="00FD6E37" w:rsidP="00566821">
            <w:pPr>
              <w:spacing w:before="40" w:after="60"/>
              <w:ind w:left="281"/>
              <w:rPr>
                <w:rFonts w:asciiTheme="minorHAnsi" w:hAnsiTheme="minorHAnsi" w:cs="Arial"/>
                <w:sz w:val="18"/>
                <w:szCs w:val="18"/>
              </w:rPr>
            </w:pPr>
            <w:r w:rsidRPr="00231907">
              <w:rPr>
                <w:rFonts w:asciiTheme="minorHAnsi" w:hAnsiTheme="minorHAnsi" w:cs="Arial"/>
                <w:sz w:val="18"/>
                <w:szCs w:val="18"/>
              </w:rPr>
              <w:t xml:space="preserve">Evidence of Implementation of a </w:t>
            </w:r>
            <w:proofErr w:type="spellStart"/>
            <w:r w:rsidRPr="00231907">
              <w:rPr>
                <w:rFonts w:asciiTheme="minorHAnsi" w:hAnsiTheme="minorHAnsi" w:cs="Arial"/>
                <w:sz w:val="18"/>
                <w:szCs w:val="18"/>
              </w:rPr>
              <w:t>WHS</w:t>
            </w:r>
            <w:proofErr w:type="spellEnd"/>
            <w:r w:rsidRPr="00231907">
              <w:rPr>
                <w:rFonts w:asciiTheme="minorHAnsi" w:hAnsiTheme="minorHAnsi" w:cs="Arial"/>
                <w:sz w:val="18"/>
                <w:szCs w:val="18"/>
              </w:rPr>
              <w:t xml:space="preserve"> Management System broadly based on AS / ISO 4801 or equivalent. This may include:</w:t>
            </w:r>
          </w:p>
          <w:p w:rsidR="00FD6E37" w:rsidRPr="00231907" w:rsidRDefault="00FD6E37" w:rsidP="00FD6E37">
            <w:pPr>
              <w:numPr>
                <w:ilvl w:val="0"/>
                <w:numId w:val="17"/>
              </w:numPr>
              <w:spacing w:before="40" w:after="60"/>
              <w:rPr>
                <w:rFonts w:asciiTheme="minorHAnsi" w:hAnsiTheme="minorHAnsi" w:cs="Arial"/>
                <w:sz w:val="18"/>
                <w:szCs w:val="18"/>
              </w:rPr>
            </w:pPr>
            <w:r w:rsidRPr="00231907">
              <w:rPr>
                <w:rFonts w:asciiTheme="minorHAnsi" w:hAnsiTheme="minorHAnsi" w:cs="Arial"/>
                <w:sz w:val="18"/>
                <w:szCs w:val="18"/>
              </w:rPr>
              <w:t>details of responsibilities and reporting relationships for WHS.</w:t>
            </w:r>
          </w:p>
          <w:p w:rsidR="00FD6E37" w:rsidRPr="00231907" w:rsidRDefault="00FD6E37" w:rsidP="00FD6E37">
            <w:pPr>
              <w:numPr>
                <w:ilvl w:val="0"/>
                <w:numId w:val="17"/>
              </w:numPr>
              <w:spacing w:before="40" w:after="60"/>
              <w:rPr>
                <w:rFonts w:asciiTheme="minorHAnsi" w:hAnsiTheme="minorHAnsi" w:cs="Arial"/>
                <w:sz w:val="18"/>
                <w:szCs w:val="18"/>
              </w:rPr>
            </w:pPr>
            <w:r w:rsidRPr="00231907">
              <w:rPr>
                <w:rFonts w:asciiTheme="minorHAnsi" w:hAnsiTheme="minorHAnsi" w:cs="Arial"/>
                <w:sz w:val="18"/>
                <w:szCs w:val="18"/>
              </w:rPr>
              <w:t xml:space="preserve">how the company consults with employees, sub-contractors and clients on </w:t>
            </w:r>
            <w:proofErr w:type="spellStart"/>
            <w:r w:rsidRPr="00231907">
              <w:rPr>
                <w:rFonts w:asciiTheme="minorHAnsi" w:hAnsiTheme="minorHAnsi" w:cs="Arial"/>
                <w:sz w:val="18"/>
                <w:szCs w:val="18"/>
              </w:rPr>
              <w:t>WHS</w:t>
            </w:r>
            <w:proofErr w:type="spellEnd"/>
            <w:r w:rsidRPr="00231907">
              <w:rPr>
                <w:rFonts w:asciiTheme="minorHAnsi" w:hAnsiTheme="minorHAnsi" w:cs="Arial"/>
                <w:sz w:val="18"/>
                <w:szCs w:val="18"/>
              </w:rPr>
              <w:t xml:space="preserve"> matters.</w:t>
            </w:r>
          </w:p>
          <w:p w:rsidR="00FD6E37" w:rsidRPr="00231907" w:rsidRDefault="00FD6E37" w:rsidP="00FD6E37">
            <w:pPr>
              <w:numPr>
                <w:ilvl w:val="0"/>
                <w:numId w:val="17"/>
              </w:numPr>
              <w:spacing w:before="40" w:after="60"/>
              <w:rPr>
                <w:rFonts w:asciiTheme="minorHAnsi" w:hAnsiTheme="minorHAnsi" w:cs="Arial"/>
                <w:sz w:val="18"/>
                <w:szCs w:val="18"/>
              </w:rPr>
            </w:pPr>
            <w:r w:rsidRPr="00231907">
              <w:rPr>
                <w:rFonts w:asciiTheme="minorHAnsi" w:hAnsiTheme="minorHAnsi" w:cs="Arial"/>
                <w:sz w:val="18"/>
                <w:szCs w:val="18"/>
              </w:rPr>
              <w:t>how the company addresses hazard identification, risk assessment and hazard control, including</w:t>
            </w:r>
          </w:p>
          <w:p w:rsidR="00FD6E37" w:rsidRPr="00231907" w:rsidRDefault="00FD6E37" w:rsidP="00FD6E37">
            <w:pPr>
              <w:numPr>
                <w:ilvl w:val="1"/>
                <w:numId w:val="17"/>
              </w:numPr>
              <w:spacing w:before="40" w:after="60"/>
              <w:rPr>
                <w:rFonts w:asciiTheme="minorHAnsi" w:hAnsiTheme="minorHAnsi" w:cs="Arial"/>
                <w:sz w:val="18"/>
                <w:szCs w:val="18"/>
              </w:rPr>
            </w:pPr>
            <w:r w:rsidRPr="00231907">
              <w:rPr>
                <w:rFonts w:asciiTheme="minorHAnsi" w:hAnsiTheme="minorHAnsi" w:cs="Arial"/>
                <w:sz w:val="18"/>
                <w:szCs w:val="18"/>
              </w:rPr>
              <w:t>the supply of goods and sub-contractor services</w:t>
            </w:r>
          </w:p>
          <w:p w:rsidR="00FD6E37" w:rsidRPr="00231907" w:rsidRDefault="00FD6E37" w:rsidP="00FD6E37">
            <w:pPr>
              <w:numPr>
                <w:ilvl w:val="1"/>
                <w:numId w:val="17"/>
              </w:numPr>
              <w:spacing w:before="40" w:after="60"/>
              <w:rPr>
                <w:rFonts w:asciiTheme="minorHAnsi" w:hAnsiTheme="minorHAnsi" w:cs="Arial"/>
                <w:sz w:val="18"/>
                <w:szCs w:val="18"/>
              </w:rPr>
            </w:pPr>
            <w:r w:rsidRPr="00231907">
              <w:rPr>
                <w:rFonts w:asciiTheme="minorHAnsi" w:hAnsiTheme="minorHAnsi" w:cs="Arial"/>
                <w:sz w:val="18"/>
                <w:szCs w:val="18"/>
              </w:rPr>
              <w:t>the supply and management of plant</w:t>
            </w:r>
          </w:p>
          <w:p w:rsidR="00FD6E37" w:rsidRPr="00231907" w:rsidRDefault="00FD6E37" w:rsidP="00FD6E37">
            <w:pPr>
              <w:numPr>
                <w:ilvl w:val="1"/>
                <w:numId w:val="17"/>
              </w:numPr>
              <w:spacing w:before="40" w:after="60"/>
              <w:rPr>
                <w:rFonts w:asciiTheme="minorHAnsi" w:hAnsiTheme="minorHAnsi" w:cs="Arial"/>
                <w:sz w:val="18"/>
                <w:szCs w:val="18"/>
              </w:rPr>
            </w:pPr>
            <w:r w:rsidRPr="00231907">
              <w:rPr>
                <w:rFonts w:asciiTheme="minorHAnsi" w:hAnsiTheme="minorHAnsi" w:cs="Arial"/>
                <w:sz w:val="18"/>
                <w:szCs w:val="18"/>
              </w:rPr>
              <w:t>hazardous substances</w:t>
            </w:r>
          </w:p>
          <w:p w:rsidR="00FD6E37" w:rsidRPr="00231907" w:rsidRDefault="00FD6E37" w:rsidP="00FD6E37">
            <w:pPr>
              <w:numPr>
                <w:ilvl w:val="1"/>
                <w:numId w:val="17"/>
              </w:numPr>
              <w:spacing w:before="40" w:after="60"/>
              <w:rPr>
                <w:rFonts w:asciiTheme="minorHAnsi" w:hAnsiTheme="minorHAnsi" w:cs="Arial"/>
                <w:sz w:val="18"/>
                <w:szCs w:val="18"/>
              </w:rPr>
            </w:pPr>
            <w:r w:rsidRPr="00231907">
              <w:rPr>
                <w:rFonts w:asciiTheme="minorHAnsi" w:hAnsiTheme="minorHAnsi" w:cs="Arial"/>
                <w:sz w:val="18"/>
                <w:szCs w:val="18"/>
              </w:rPr>
              <w:t>dangerous goods</w:t>
            </w:r>
          </w:p>
          <w:p w:rsidR="00FD6E37" w:rsidRPr="00231907" w:rsidRDefault="00FD6E37" w:rsidP="00FD6E37">
            <w:pPr>
              <w:numPr>
                <w:ilvl w:val="0"/>
                <w:numId w:val="17"/>
              </w:numPr>
              <w:spacing w:before="40" w:after="60"/>
              <w:rPr>
                <w:rFonts w:asciiTheme="minorHAnsi" w:hAnsiTheme="minorHAnsi" w:cs="Arial"/>
                <w:sz w:val="18"/>
                <w:szCs w:val="18"/>
              </w:rPr>
            </w:pPr>
            <w:r w:rsidRPr="00231907">
              <w:rPr>
                <w:rFonts w:asciiTheme="minorHAnsi" w:hAnsiTheme="minorHAnsi" w:cs="Arial"/>
                <w:sz w:val="18"/>
                <w:szCs w:val="18"/>
              </w:rPr>
              <w:t xml:space="preserve">how the company ensures staff are properly trained in </w:t>
            </w:r>
            <w:proofErr w:type="spellStart"/>
            <w:r w:rsidRPr="00231907">
              <w:rPr>
                <w:rFonts w:asciiTheme="minorHAnsi" w:hAnsiTheme="minorHAnsi" w:cs="Arial"/>
                <w:sz w:val="18"/>
                <w:szCs w:val="18"/>
              </w:rPr>
              <w:t>WHS</w:t>
            </w:r>
            <w:proofErr w:type="spellEnd"/>
            <w:r w:rsidRPr="00231907">
              <w:rPr>
                <w:rFonts w:asciiTheme="minorHAnsi" w:hAnsiTheme="minorHAnsi" w:cs="Arial"/>
                <w:sz w:val="18"/>
                <w:szCs w:val="18"/>
              </w:rPr>
              <w:t xml:space="preserve"> matters and links to the training plan.</w:t>
            </w:r>
          </w:p>
          <w:p w:rsidR="00FD6E37" w:rsidRPr="00231907" w:rsidRDefault="00FD6E37" w:rsidP="00FD6E37">
            <w:pPr>
              <w:numPr>
                <w:ilvl w:val="0"/>
                <w:numId w:val="17"/>
              </w:numPr>
              <w:spacing w:before="40" w:after="60"/>
              <w:rPr>
                <w:rFonts w:asciiTheme="minorHAnsi" w:hAnsiTheme="minorHAnsi" w:cs="Arial"/>
                <w:sz w:val="18"/>
                <w:szCs w:val="18"/>
              </w:rPr>
            </w:pPr>
            <w:r w:rsidRPr="00231907">
              <w:rPr>
                <w:rFonts w:asciiTheme="minorHAnsi" w:hAnsiTheme="minorHAnsi" w:cs="Arial"/>
                <w:sz w:val="18"/>
                <w:szCs w:val="18"/>
              </w:rPr>
              <w:t>how the company ensures/provides/maintains emergency preparedness.</w:t>
            </w:r>
          </w:p>
          <w:p w:rsidR="00FD6E37" w:rsidRPr="00231907" w:rsidRDefault="00FD6E37" w:rsidP="00566821">
            <w:pPr>
              <w:pStyle w:val="Header"/>
              <w:tabs>
                <w:tab w:val="left" w:pos="1134"/>
              </w:tabs>
              <w:spacing w:before="80" w:after="80"/>
              <w:ind w:left="284"/>
              <w:rPr>
                <w:rFonts w:asciiTheme="minorHAnsi" w:hAnsiTheme="minorHAnsi" w:cs="Arial"/>
                <w:sz w:val="18"/>
                <w:szCs w:val="18"/>
              </w:rPr>
            </w:pPr>
          </w:p>
        </w:tc>
        <w:tc>
          <w:tcPr>
            <w:tcW w:w="9395" w:type="dxa"/>
            <w:gridSpan w:val="2"/>
            <w:tcBorders>
              <w:top w:val="single" w:sz="4" w:space="0" w:color="000000"/>
              <w:bottom w:val="single" w:sz="4" w:space="0" w:color="BFBFBF"/>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r w:rsidRPr="00231907">
              <w:rPr>
                <w:rFonts w:asciiTheme="minorHAnsi" w:hAnsiTheme="minorHAnsi" w:cs="Arial"/>
                <w:sz w:val="18"/>
                <w:szCs w:val="18"/>
              </w:rPr>
              <w:t>JAS-</w:t>
            </w:r>
            <w:proofErr w:type="spellStart"/>
            <w:r w:rsidRPr="00231907">
              <w:rPr>
                <w:rFonts w:asciiTheme="minorHAnsi" w:hAnsiTheme="minorHAnsi" w:cs="Arial"/>
                <w:sz w:val="18"/>
                <w:szCs w:val="18"/>
              </w:rPr>
              <w:t>ANZ</w:t>
            </w:r>
            <w:proofErr w:type="spellEnd"/>
            <w:r w:rsidRPr="00231907">
              <w:rPr>
                <w:rFonts w:asciiTheme="minorHAnsi" w:hAnsiTheme="minorHAnsi" w:cs="Arial"/>
                <w:sz w:val="18"/>
                <w:szCs w:val="18"/>
              </w:rPr>
              <w:t xml:space="preserve"> Certified </w:t>
            </w:r>
            <w:proofErr w:type="spellStart"/>
            <w:r w:rsidRPr="00231907">
              <w:rPr>
                <w:rFonts w:asciiTheme="minorHAnsi" w:hAnsiTheme="minorHAnsi" w:cs="Arial"/>
                <w:sz w:val="18"/>
                <w:szCs w:val="18"/>
              </w:rPr>
              <w:t>WHS</w:t>
            </w:r>
            <w:proofErr w:type="spellEnd"/>
            <w:r w:rsidRPr="00231907">
              <w:rPr>
                <w:rFonts w:asciiTheme="minorHAnsi" w:hAnsiTheme="minorHAnsi" w:cs="Arial"/>
                <w:sz w:val="18"/>
                <w:szCs w:val="18"/>
              </w:rPr>
              <w:t xml:space="preserve"> system; </w:t>
            </w:r>
          </w:p>
          <w:p w:rsidR="00FD6E37" w:rsidRPr="00231907" w:rsidRDefault="00FD6E37" w:rsidP="00566821">
            <w:pPr>
              <w:pStyle w:val="Header"/>
              <w:tabs>
                <w:tab w:val="left" w:pos="1134"/>
              </w:tabs>
              <w:spacing w:before="80" w:after="80"/>
              <w:rPr>
                <w:rFonts w:asciiTheme="minorHAnsi" w:hAnsiTheme="minorHAnsi" w:cs="Arial"/>
                <w:i/>
                <w:sz w:val="18"/>
                <w:szCs w:val="18"/>
              </w:rPr>
            </w:pPr>
            <w:r w:rsidRPr="00231907">
              <w:rPr>
                <w:rFonts w:asciiTheme="minorHAnsi" w:hAnsiTheme="minorHAnsi" w:cs="Arial"/>
                <w:i/>
                <w:sz w:val="18"/>
                <w:szCs w:val="18"/>
              </w:rPr>
              <w:t>or</w:t>
            </w:r>
          </w:p>
          <w:p w:rsidR="00FD6E37" w:rsidRPr="00231907" w:rsidRDefault="00FD6E37" w:rsidP="00566821">
            <w:pPr>
              <w:pStyle w:val="Header"/>
              <w:tabs>
                <w:tab w:val="left" w:pos="1134"/>
              </w:tabs>
              <w:spacing w:before="80" w:after="80"/>
              <w:rPr>
                <w:rFonts w:asciiTheme="minorHAnsi" w:hAnsiTheme="minorHAnsi" w:cs="Arial"/>
                <w:sz w:val="18"/>
                <w:szCs w:val="18"/>
              </w:rPr>
            </w:pPr>
            <w:r w:rsidRPr="00231907">
              <w:rPr>
                <w:rFonts w:asciiTheme="minorHAnsi" w:hAnsiTheme="minorHAnsi" w:cs="Arial"/>
                <w:sz w:val="18"/>
                <w:szCs w:val="18"/>
              </w:rPr>
              <w:t xml:space="preserve">If not third party certified, evidence that demonstrates the implementation of a </w:t>
            </w:r>
            <w:proofErr w:type="spellStart"/>
            <w:r w:rsidRPr="00231907">
              <w:rPr>
                <w:rFonts w:asciiTheme="minorHAnsi" w:hAnsiTheme="minorHAnsi" w:cs="Arial"/>
                <w:sz w:val="18"/>
                <w:szCs w:val="18"/>
              </w:rPr>
              <w:t>WHS</w:t>
            </w:r>
            <w:proofErr w:type="spellEnd"/>
            <w:r w:rsidRPr="00231907">
              <w:rPr>
                <w:rFonts w:asciiTheme="minorHAnsi" w:hAnsiTheme="minorHAnsi" w:cs="Arial"/>
                <w:sz w:val="18"/>
                <w:szCs w:val="18"/>
              </w:rPr>
              <w:t xml:space="preserve"> Management System broadly based on AS / ISO 4801 which also meets the requirements of the applicable Work Health and Safety Legislation and to be able to demonstrate evidence of a safe workplace, including chain of responsibility. </w:t>
            </w:r>
          </w:p>
          <w:p w:rsidR="00FD6E37" w:rsidRPr="00231907" w:rsidRDefault="00FD6E37" w:rsidP="00566821">
            <w:pPr>
              <w:pStyle w:val="Header"/>
              <w:tabs>
                <w:tab w:val="left" w:pos="1134"/>
              </w:tabs>
              <w:spacing w:before="80" w:after="80"/>
              <w:rPr>
                <w:rFonts w:asciiTheme="minorHAnsi" w:hAnsiTheme="minorHAnsi" w:cs="Arial"/>
                <w:sz w:val="18"/>
                <w:szCs w:val="18"/>
              </w:rPr>
            </w:pPr>
          </w:p>
        </w:tc>
        <w:tc>
          <w:tcPr>
            <w:tcW w:w="1292" w:type="dxa"/>
            <w:gridSpan w:val="2"/>
            <w:tcBorders>
              <w:top w:val="single" w:sz="4" w:space="0" w:color="000000"/>
              <w:bottom w:val="single" w:sz="4" w:space="0" w:color="BFBFBF"/>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r w:rsidR="00FD6E37" w:rsidRPr="00231907" w:rsidTr="00FD6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9"/>
        </w:trPr>
        <w:tc>
          <w:tcPr>
            <w:tcW w:w="2271" w:type="dxa"/>
            <w:vMerge/>
          </w:tcPr>
          <w:p w:rsidR="00FD6E37" w:rsidRPr="00231907" w:rsidRDefault="00FD6E37" w:rsidP="00FD6E37">
            <w:pPr>
              <w:pStyle w:val="Header"/>
              <w:numPr>
                <w:ilvl w:val="0"/>
                <w:numId w:val="6"/>
              </w:numPr>
              <w:tabs>
                <w:tab w:val="clear" w:pos="4153"/>
                <w:tab w:val="clear" w:pos="8306"/>
                <w:tab w:val="left" w:pos="284"/>
              </w:tabs>
              <w:spacing w:before="80" w:after="80"/>
              <w:ind w:left="284" w:hanging="284"/>
              <w:rPr>
                <w:rFonts w:asciiTheme="minorHAnsi" w:hAnsiTheme="minorHAnsi" w:cs="Arial"/>
                <w:sz w:val="18"/>
                <w:szCs w:val="18"/>
              </w:rPr>
            </w:pPr>
          </w:p>
        </w:tc>
        <w:tc>
          <w:tcPr>
            <w:tcW w:w="8838" w:type="dxa"/>
            <w:tcBorders>
              <w:top w:val="single" w:sz="4" w:space="0" w:color="BFBFBF"/>
            </w:tcBorders>
          </w:tcPr>
          <w:p w:rsidR="00FD6E37" w:rsidRPr="00231907" w:rsidRDefault="00FD6E37" w:rsidP="00FD6E37">
            <w:pPr>
              <w:pStyle w:val="Header"/>
              <w:numPr>
                <w:ilvl w:val="1"/>
                <w:numId w:val="19"/>
              </w:numPr>
              <w:tabs>
                <w:tab w:val="clear" w:pos="4153"/>
                <w:tab w:val="clear" w:pos="8306"/>
                <w:tab w:val="left" w:pos="424"/>
              </w:tabs>
              <w:spacing w:before="80" w:after="80"/>
              <w:ind w:left="424" w:hanging="426"/>
              <w:rPr>
                <w:rFonts w:asciiTheme="minorHAnsi" w:hAnsiTheme="minorHAnsi" w:cs="Arial"/>
                <w:sz w:val="18"/>
                <w:szCs w:val="18"/>
              </w:rPr>
            </w:pPr>
            <w:r w:rsidRPr="00231907">
              <w:rPr>
                <w:rFonts w:asciiTheme="minorHAnsi" w:hAnsiTheme="minorHAnsi" w:cs="Arial"/>
                <w:sz w:val="18"/>
                <w:szCs w:val="18"/>
              </w:rPr>
              <w:t>Examples of the following</w:t>
            </w:r>
          </w:p>
          <w:p w:rsidR="00FD6E37" w:rsidRPr="00231907" w:rsidRDefault="00FD6E37" w:rsidP="00FD6E37">
            <w:pPr>
              <w:pStyle w:val="Header"/>
              <w:numPr>
                <w:ilvl w:val="0"/>
                <w:numId w:val="5"/>
              </w:numPr>
              <w:tabs>
                <w:tab w:val="clear" w:pos="4153"/>
                <w:tab w:val="clear" w:pos="8306"/>
                <w:tab w:val="left" w:pos="1134"/>
              </w:tabs>
              <w:spacing w:before="80" w:after="80"/>
              <w:rPr>
                <w:rFonts w:asciiTheme="minorHAnsi" w:hAnsiTheme="minorHAnsi" w:cs="Arial"/>
                <w:sz w:val="18"/>
                <w:szCs w:val="18"/>
              </w:rPr>
            </w:pPr>
            <w:r w:rsidRPr="00231907">
              <w:rPr>
                <w:rFonts w:asciiTheme="minorHAnsi" w:hAnsiTheme="minorHAnsi" w:cs="Arial"/>
                <w:sz w:val="18"/>
                <w:szCs w:val="18"/>
              </w:rPr>
              <w:t>Safety Plans</w:t>
            </w:r>
          </w:p>
          <w:p w:rsidR="00FD6E37" w:rsidRPr="00231907" w:rsidRDefault="00FD6E37" w:rsidP="00FD6E37">
            <w:pPr>
              <w:pStyle w:val="Header"/>
              <w:numPr>
                <w:ilvl w:val="0"/>
                <w:numId w:val="5"/>
              </w:numPr>
              <w:tabs>
                <w:tab w:val="clear" w:pos="4153"/>
                <w:tab w:val="clear" w:pos="8306"/>
                <w:tab w:val="left" w:pos="1134"/>
              </w:tabs>
              <w:spacing w:before="80" w:after="80"/>
              <w:rPr>
                <w:rFonts w:asciiTheme="minorHAnsi" w:hAnsiTheme="minorHAnsi" w:cs="Arial"/>
                <w:sz w:val="18"/>
                <w:szCs w:val="18"/>
              </w:rPr>
            </w:pPr>
            <w:r w:rsidRPr="00231907">
              <w:rPr>
                <w:rFonts w:asciiTheme="minorHAnsi" w:hAnsiTheme="minorHAnsi" w:cs="Arial"/>
                <w:sz w:val="18"/>
                <w:szCs w:val="18"/>
              </w:rPr>
              <w:t>Minutes of Safety Committee meetings</w:t>
            </w:r>
          </w:p>
          <w:p w:rsidR="00FD6E37" w:rsidRPr="00231907" w:rsidRDefault="00FD6E37" w:rsidP="00FD6E37">
            <w:pPr>
              <w:pStyle w:val="Header"/>
              <w:numPr>
                <w:ilvl w:val="0"/>
                <w:numId w:val="5"/>
              </w:numPr>
              <w:tabs>
                <w:tab w:val="clear" w:pos="4153"/>
                <w:tab w:val="clear" w:pos="8306"/>
                <w:tab w:val="left" w:pos="1134"/>
              </w:tabs>
              <w:spacing w:before="80" w:after="80"/>
              <w:rPr>
                <w:rFonts w:asciiTheme="minorHAnsi" w:hAnsiTheme="minorHAnsi" w:cs="Arial"/>
                <w:sz w:val="18"/>
                <w:szCs w:val="18"/>
              </w:rPr>
            </w:pPr>
            <w:r w:rsidRPr="00231907">
              <w:rPr>
                <w:rFonts w:asciiTheme="minorHAnsi" w:hAnsiTheme="minorHAnsi" w:cs="Arial"/>
                <w:sz w:val="18"/>
                <w:szCs w:val="18"/>
              </w:rPr>
              <w:t>Audit Reports</w:t>
            </w:r>
          </w:p>
          <w:p w:rsidR="00FD6E37" w:rsidRPr="00231907" w:rsidRDefault="00FD6E37" w:rsidP="00FD6E37">
            <w:pPr>
              <w:pStyle w:val="Header"/>
              <w:numPr>
                <w:ilvl w:val="0"/>
                <w:numId w:val="5"/>
              </w:numPr>
              <w:tabs>
                <w:tab w:val="clear" w:pos="4153"/>
                <w:tab w:val="clear" w:pos="8306"/>
                <w:tab w:val="left" w:pos="1134"/>
              </w:tabs>
              <w:spacing w:before="80" w:after="80"/>
              <w:rPr>
                <w:rFonts w:asciiTheme="minorHAnsi" w:hAnsiTheme="minorHAnsi" w:cs="Arial"/>
                <w:sz w:val="18"/>
                <w:szCs w:val="18"/>
              </w:rPr>
            </w:pPr>
            <w:r w:rsidRPr="00231907">
              <w:rPr>
                <w:rFonts w:asciiTheme="minorHAnsi" w:hAnsiTheme="minorHAnsi" w:cs="Arial"/>
                <w:sz w:val="18"/>
                <w:szCs w:val="18"/>
              </w:rPr>
              <w:t>Action Plans.</w:t>
            </w:r>
          </w:p>
        </w:tc>
        <w:tc>
          <w:tcPr>
            <w:tcW w:w="9395" w:type="dxa"/>
            <w:gridSpan w:val="2"/>
            <w:tcBorders>
              <w:top w:val="single" w:sz="4" w:space="0" w:color="BFBFBF"/>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r w:rsidRPr="00231907">
              <w:rPr>
                <w:rFonts w:asciiTheme="minorHAnsi" w:hAnsiTheme="minorHAnsi" w:cs="Arial"/>
                <w:sz w:val="18"/>
                <w:szCs w:val="18"/>
              </w:rPr>
              <w:t>Satisfactory evidence of implementation of safety systems and safe work method statements.</w:t>
            </w:r>
          </w:p>
        </w:tc>
        <w:tc>
          <w:tcPr>
            <w:tcW w:w="1292" w:type="dxa"/>
            <w:gridSpan w:val="2"/>
            <w:tcBorders>
              <w:top w:val="single" w:sz="4" w:space="0" w:color="BFBFBF"/>
            </w:tcBorders>
            <w:shd w:val="clear" w:color="auto" w:fill="E6E6E6"/>
          </w:tcPr>
          <w:p w:rsidR="00FD6E37" w:rsidRPr="00231907" w:rsidRDefault="00FD6E37" w:rsidP="00566821">
            <w:pPr>
              <w:pStyle w:val="Header"/>
              <w:tabs>
                <w:tab w:val="left" w:pos="1134"/>
              </w:tabs>
              <w:spacing w:before="80" w:after="80"/>
              <w:rPr>
                <w:rFonts w:asciiTheme="minorHAnsi" w:hAnsiTheme="minorHAnsi" w:cs="Arial"/>
                <w:sz w:val="18"/>
                <w:szCs w:val="18"/>
              </w:rPr>
            </w:pPr>
          </w:p>
        </w:tc>
      </w:tr>
    </w:tbl>
    <w:p w:rsidR="00FD6E37" w:rsidRPr="00231907" w:rsidRDefault="00FD6E37" w:rsidP="00FD6E37">
      <w:pPr>
        <w:spacing w:before="120"/>
        <w:rPr>
          <w:sz w:val="20"/>
        </w:rPr>
      </w:pPr>
      <w:r w:rsidRPr="00231907">
        <w:rPr>
          <w:sz w:val="20"/>
        </w:rPr>
        <w:t>Note: where an Australian Standard is specified, systems / certification must be based on the current edition of that standard.</w:t>
      </w:r>
    </w:p>
    <w:p w:rsidR="00FD6E37" w:rsidRDefault="00FD6E37" w:rsidP="00FD6E37"/>
    <w:p w:rsidR="00FD6E37" w:rsidRDefault="00FD6E37" w:rsidP="002D13EB">
      <w:pPr>
        <w:rPr>
          <w:sz w:val="22"/>
          <w:szCs w:val="22"/>
        </w:rPr>
        <w:sectPr w:rsidR="00FD6E37" w:rsidSect="00A44C96">
          <w:headerReference w:type="default" r:id="rId16"/>
          <w:pgSz w:w="23814" w:h="16840" w:orient="landscape" w:code="8"/>
          <w:pgMar w:top="1560" w:right="1985" w:bottom="851" w:left="1134" w:header="284" w:footer="318" w:gutter="0"/>
          <w:cols w:space="720"/>
        </w:sectPr>
      </w:pPr>
    </w:p>
    <w:p w:rsidR="00CD7086" w:rsidRPr="00CD7086" w:rsidRDefault="00CD7086" w:rsidP="00CD7086">
      <w:pPr>
        <w:rPr>
          <w:sz w:val="22"/>
          <w:szCs w:val="22"/>
        </w:rPr>
      </w:pPr>
    </w:p>
    <w:p w:rsidR="00FA166F" w:rsidRPr="00F754D3" w:rsidRDefault="00FA166F" w:rsidP="0093244D">
      <w:pPr>
        <w:suppressAutoHyphens/>
        <w:spacing w:before="120"/>
        <w:ind w:left="720" w:hanging="720"/>
        <w:rPr>
          <w:b/>
          <w:sz w:val="20"/>
        </w:rPr>
      </w:pPr>
      <w:r w:rsidRPr="00F754D3">
        <w:rPr>
          <w:b/>
          <w:sz w:val="20"/>
        </w:rPr>
        <w:t>1.</w:t>
      </w:r>
      <w:r w:rsidRPr="00F754D3">
        <w:rPr>
          <w:b/>
          <w:sz w:val="20"/>
        </w:rPr>
        <w:tab/>
        <w:t>Introduction</w:t>
      </w:r>
    </w:p>
    <w:p w:rsidR="00FA166F" w:rsidRPr="00F754D3" w:rsidRDefault="00FA166F" w:rsidP="00FA166F">
      <w:pPr>
        <w:ind w:left="720"/>
        <w:rPr>
          <w:sz w:val="20"/>
        </w:rPr>
      </w:pPr>
    </w:p>
    <w:p w:rsidR="00FA166F" w:rsidRPr="00F754D3" w:rsidRDefault="00FA166F" w:rsidP="00FA166F">
      <w:pPr>
        <w:ind w:left="720"/>
        <w:rPr>
          <w:sz w:val="20"/>
        </w:rPr>
      </w:pPr>
      <w:r w:rsidRPr="00F754D3">
        <w:rPr>
          <w:sz w:val="20"/>
        </w:rPr>
        <w:t>These Conditions of Prequalification prescribe the rules by which an application will be assessed by DPTI and if applicant is successful, for the management of the prequalification system. By submitting a</w:t>
      </w:r>
      <w:r w:rsidR="00D24E5A">
        <w:rPr>
          <w:sz w:val="20"/>
        </w:rPr>
        <w:t>n</w:t>
      </w:r>
      <w:r w:rsidRPr="00F754D3">
        <w:rPr>
          <w:sz w:val="20"/>
        </w:rPr>
        <w:t xml:space="preserve"> application for prequalification, an applicant agrees to comply with, and be bound by, the rules contained within these Conditions of Prequalification.</w:t>
      </w:r>
    </w:p>
    <w:p w:rsidR="00FA166F" w:rsidRPr="00F754D3" w:rsidRDefault="00FA166F" w:rsidP="00FA166F">
      <w:pPr>
        <w:ind w:left="720"/>
        <w:rPr>
          <w:sz w:val="20"/>
        </w:rPr>
      </w:pPr>
    </w:p>
    <w:p w:rsidR="00FA166F" w:rsidRPr="00F754D3" w:rsidRDefault="00FA166F" w:rsidP="00FA166F">
      <w:pPr>
        <w:suppressAutoHyphens/>
        <w:ind w:left="720" w:hanging="720"/>
        <w:rPr>
          <w:b/>
          <w:sz w:val="20"/>
        </w:rPr>
      </w:pPr>
      <w:r w:rsidRPr="00F754D3">
        <w:rPr>
          <w:b/>
          <w:sz w:val="20"/>
        </w:rPr>
        <w:t>2.</w:t>
      </w:r>
      <w:r w:rsidRPr="00F754D3">
        <w:rPr>
          <w:b/>
          <w:sz w:val="20"/>
        </w:rPr>
        <w:tab/>
        <w:t>Applications</w:t>
      </w:r>
    </w:p>
    <w:p w:rsidR="00FA166F" w:rsidRPr="00F754D3" w:rsidRDefault="00FA166F" w:rsidP="00FA166F">
      <w:pPr>
        <w:ind w:left="720"/>
        <w:rPr>
          <w:sz w:val="20"/>
        </w:rPr>
      </w:pPr>
    </w:p>
    <w:p w:rsidR="00FA166F" w:rsidRPr="00F754D3" w:rsidRDefault="00FA166F" w:rsidP="00FA166F">
      <w:pPr>
        <w:suppressAutoHyphens/>
        <w:ind w:left="720" w:hanging="11"/>
        <w:rPr>
          <w:sz w:val="20"/>
        </w:rPr>
      </w:pPr>
      <w:r w:rsidRPr="00F754D3">
        <w:rPr>
          <w:sz w:val="20"/>
        </w:rPr>
        <w:t xml:space="preserve">Companies may submit applications for prequalification at any time. Applications must be submitted in accordance with Part </w:t>
      </w:r>
      <w:r w:rsidR="00522740">
        <w:rPr>
          <w:sz w:val="20"/>
        </w:rPr>
        <w:t>2</w:t>
      </w:r>
      <w:r w:rsidRPr="00F754D3">
        <w:rPr>
          <w:sz w:val="20"/>
        </w:rPr>
        <w:t xml:space="preserve"> “</w:t>
      </w:r>
      <w:r w:rsidR="00522740">
        <w:rPr>
          <w:sz w:val="20"/>
        </w:rPr>
        <w:t>Application</w:t>
      </w:r>
      <w:r w:rsidRPr="00F754D3">
        <w:rPr>
          <w:sz w:val="20"/>
        </w:rPr>
        <w:t xml:space="preserve">” of this </w:t>
      </w:r>
      <w:r w:rsidR="00186E5E" w:rsidRPr="00F754D3">
        <w:rPr>
          <w:sz w:val="20"/>
        </w:rPr>
        <w:t xml:space="preserve">document. </w:t>
      </w:r>
      <w:r w:rsidRPr="00F754D3">
        <w:rPr>
          <w:sz w:val="20"/>
        </w:rPr>
        <w:t>Prequalification only determines a company’s eligibility to submit tenders.</w:t>
      </w:r>
    </w:p>
    <w:p w:rsidR="00FA166F" w:rsidRPr="00F754D3" w:rsidRDefault="00FA166F" w:rsidP="00FA166F">
      <w:pPr>
        <w:suppressAutoHyphens/>
        <w:ind w:left="720" w:hanging="11"/>
        <w:rPr>
          <w:b/>
          <w:sz w:val="20"/>
        </w:rPr>
      </w:pPr>
    </w:p>
    <w:p w:rsidR="00FA166F" w:rsidRPr="00F754D3" w:rsidRDefault="00FA166F" w:rsidP="00FA166F">
      <w:pPr>
        <w:suppressAutoHyphens/>
        <w:ind w:left="720" w:hanging="720"/>
        <w:rPr>
          <w:sz w:val="20"/>
        </w:rPr>
      </w:pPr>
      <w:r w:rsidRPr="00F754D3">
        <w:rPr>
          <w:b/>
          <w:sz w:val="20"/>
        </w:rPr>
        <w:t>3.</w:t>
      </w:r>
      <w:r w:rsidRPr="00F754D3">
        <w:rPr>
          <w:b/>
          <w:sz w:val="20"/>
        </w:rPr>
        <w:tab/>
        <w:t>Assessment and Notification</w:t>
      </w:r>
    </w:p>
    <w:p w:rsidR="00FA166F" w:rsidRPr="00F754D3" w:rsidRDefault="00FA166F" w:rsidP="00FA166F">
      <w:pPr>
        <w:ind w:left="720"/>
        <w:rPr>
          <w:sz w:val="20"/>
        </w:rPr>
      </w:pPr>
    </w:p>
    <w:p w:rsidR="00FA166F" w:rsidRPr="00F754D3" w:rsidRDefault="00FA166F" w:rsidP="00FA166F">
      <w:pPr>
        <w:ind w:left="720"/>
        <w:rPr>
          <w:sz w:val="20"/>
        </w:rPr>
      </w:pPr>
      <w:r w:rsidRPr="00F754D3">
        <w:rPr>
          <w:sz w:val="20"/>
        </w:rPr>
        <w:t>Applications for prequalification will be assessed in accordance with DPTI’s internal procedures for management of its prequalification systems. DPTI and its agents may undertake any investigation that is reasonably necessary to validate the information submitted by the applicant.</w:t>
      </w:r>
    </w:p>
    <w:p w:rsidR="00FA166F" w:rsidRPr="00F754D3" w:rsidRDefault="00FA166F" w:rsidP="00FA166F">
      <w:pPr>
        <w:ind w:left="720"/>
        <w:rPr>
          <w:sz w:val="20"/>
        </w:rPr>
      </w:pPr>
    </w:p>
    <w:p w:rsidR="00FA166F" w:rsidRPr="00F754D3" w:rsidRDefault="00FA166F" w:rsidP="00FA166F">
      <w:pPr>
        <w:ind w:left="720"/>
        <w:rPr>
          <w:sz w:val="20"/>
        </w:rPr>
      </w:pPr>
      <w:r w:rsidRPr="00F754D3">
        <w:rPr>
          <w:sz w:val="20"/>
        </w:rPr>
        <w:t xml:space="preserve">The criteria considered in the assessment of an application are those listed in Part 3: “Information to be Submitted and Assessment Criteria” of this document.  </w:t>
      </w:r>
    </w:p>
    <w:p w:rsidR="00FA166F" w:rsidRPr="00F754D3" w:rsidRDefault="00FA166F" w:rsidP="00FA166F">
      <w:pPr>
        <w:ind w:left="720"/>
        <w:rPr>
          <w:sz w:val="20"/>
        </w:rPr>
      </w:pPr>
    </w:p>
    <w:p w:rsidR="00FA166F" w:rsidRPr="00F754D3" w:rsidRDefault="00FA166F" w:rsidP="00FA166F">
      <w:pPr>
        <w:ind w:left="720"/>
        <w:rPr>
          <w:sz w:val="20"/>
        </w:rPr>
      </w:pPr>
      <w:r w:rsidRPr="00F754D3">
        <w:rPr>
          <w:sz w:val="20"/>
        </w:rPr>
        <w:t>Companies should allow at least six weeks from the date of submission for the assessment process.</w:t>
      </w:r>
    </w:p>
    <w:p w:rsidR="00FA166F" w:rsidRPr="00F754D3" w:rsidRDefault="00FA166F" w:rsidP="00FA166F">
      <w:pPr>
        <w:ind w:left="720"/>
        <w:rPr>
          <w:sz w:val="20"/>
        </w:rPr>
      </w:pPr>
    </w:p>
    <w:p w:rsidR="00FA166F" w:rsidRPr="00F754D3" w:rsidRDefault="00FA166F" w:rsidP="00FA166F">
      <w:pPr>
        <w:ind w:left="720"/>
        <w:rPr>
          <w:sz w:val="20"/>
        </w:rPr>
      </w:pPr>
      <w:r w:rsidRPr="00F754D3">
        <w:rPr>
          <w:sz w:val="20"/>
        </w:rPr>
        <w:t xml:space="preserve">The prequalification of a Contractor does not extend to </w:t>
      </w:r>
      <w:proofErr w:type="gramStart"/>
      <w:r w:rsidRPr="00F754D3">
        <w:rPr>
          <w:sz w:val="20"/>
        </w:rPr>
        <w:t>related</w:t>
      </w:r>
      <w:proofErr w:type="gramEnd"/>
      <w:r w:rsidRPr="00F754D3">
        <w:rPr>
          <w:sz w:val="20"/>
        </w:rPr>
        <w:t xml:space="preserve"> or subsidiary companies owned or controlled by the Contractor.</w:t>
      </w:r>
    </w:p>
    <w:p w:rsidR="00FA166F" w:rsidRPr="00F754D3" w:rsidRDefault="00FA166F" w:rsidP="00FA166F">
      <w:pPr>
        <w:suppressAutoHyphens/>
        <w:rPr>
          <w:sz w:val="20"/>
        </w:rPr>
      </w:pPr>
    </w:p>
    <w:p w:rsidR="00FA166F" w:rsidRPr="00F754D3" w:rsidRDefault="00FA166F" w:rsidP="00FA166F">
      <w:pPr>
        <w:suppressAutoHyphens/>
        <w:spacing w:after="120"/>
        <w:ind w:left="720" w:hanging="720"/>
        <w:rPr>
          <w:b/>
          <w:sz w:val="20"/>
        </w:rPr>
      </w:pPr>
      <w:r w:rsidRPr="00F754D3">
        <w:rPr>
          <w:b/>
          <w:sz w:val="20"/>
        </w:rPr>
        <w:t>4.</w:t>
      </w:r>
      <w:r w:rsidRPr="00F754D3">
        <w:rPr>
          <w:b/>
          <w:sz w:val="20"/>
        </w:rPr>
        <w:tab/>
        <w:t>Prequalification Period</w:t>
      </w:r>
    </w:p>
    <w:p w:rsidR="00FA166F" w:rsidRPr="00F754D3" w:rsidRDefault="00FA166F" w:rsidP="00FA166F">
      <w:pPr>
        <w:suppressAutoHyphens/>
        <w:ind w:left="720" w:hanging="11"/>
        <w:rPr>
          <w:sz w:val="20"/>
        </w:rPr>
      </w:pPr>
      <w:r w:rsidRPr="00F754D3">
        <w:rPr>
          <w:sz w:val="20"/>
        </w:rPr>
        <w:t>The prequalification system is reviewed at least every three years.  However, DPTI, in its absolute discretion, may at any time:</w:t>
      </w:r>
    </w:p>
    <w:p w:rsidR="00FA166F" w:rsidRPr="00F754D3" w:rsidRDefault="00FA166F" w:rsidP="00367F0B">
      <w:pPr>
        <w:numPr>
          <w:ilvl w:val="0"/>
          <w:numId w:val="14"/>
        </w:numPr>
        <w:suppressAutoHyphens/>
        <w:spacing w:before="120"/>
        <w:ind w:hanging="357"/>
        <w:rPr>
          <w:sz w:val="20"/>
        </w:rPr>
      </w:pPr>
      <w:r w:rsidRPr="00F754D3">
        <w:rPr>
          <w:sz w:val="20"/>
        </w:rPr>
        <w:t>vary the period of review and/or revise the system;</w:t>
      </w:r>
    </w:p>
    <w:p w:rsidR="00FA166F" w:rsidRPr="00F754D3" w:rsidRDefault="00FA166F" w:rsidP="00367F0B">
      <w:pPr>
        <w:numPr>
          <w:ilvl w:val="0"/>
          <w:numId w:val="14"/>
        </w:numPr>
        <w:suppressAutoHyphens/>
        <w:spacing w:before="120"/>
        <w:ind w:hanging="357"/>
        <w:rPr>
          <w:sz w:val="20"/>
        </w:rPr>
      </w:pPr>
      <w:r w:rsidRPr="00F754D3">
        <w:rPr>
          <w:sz w:val="20"/>
        </w:rPr>
        <w:t>advertise for new applications; and</w:t>
      </w:r>
    </w:p>
    <w:p w:rsidR="00FA166F" w:rsidRPr="00F754D3" w:rsidRDefault="00FA166F" w:rsidP="00367F0B">
      <w:pPr>
        <w:numPr>
          <w:ilvl w:val="0"/>
          <w:numId w:val="14"/>
        </w:numPr>
        <w:suppressAutoHyphens/>
        <w:spacing w:before="120"/>
        <w:ind w:hanging="357"/>
        <w:rPr>
          <w:sz w:val="20"/>
        </w:rPr>
      </w:pPr>
      <w:r w:rsidRPr="00F754D3">
        <w:rPr>
          <w:sz w:val="20"/>
        </w:rPr>
        <w:t>request a company to validate or resubmit their application (either in part or in its entirety).</w:t>
      </w:r>
    </w:p>
    <w:p w:rsidR="00FA166F" w:rsidRPr="00F754D3" w:rsidRDefault="00FA166F" w:rsidP="00FA166F">
      <w:pPr>
        <w:suppressAutoHyphens/>
        <w:ind w:left="720" w:hanging="11"/>
        <w:rPr>
          <w:sz w:val="20"/>
        </w:rPr>
      </w:pPr>
    </w:p>
    <w:p w:rsidR="00FA166F" w:rsidRPr="00F754D3" w:rsidRDefault="00FA166F" w:rsidP="00FA166F">
      <w:pPr>
        <w:suppressAutoHyphens/>
        <w:spacing w:after="120"/>
        <w:ind w:left="720" w:hanging="720"/>
        <w:rPr>
          <w:b/>
          <w:sz w:val="20"/>
        </w:rPr>
      </w:pPr>
      <w:r w:rsidRPr="00F754D3">
        <w:rPr>
          <w:b/>
          <w:sz w:val="20"/>
        </w:rPr>
        <w:t>5.</w:t>
      </w:r>
      <w:r w:rsidRPr="00F754D3">
        <w:rPr>
          <w:b/>
          <w:sz w:val="20"/>
        </w:rPr>
        <w:tab/>
        <w:t>Reviewing, Rescinding or Downgrading Prequalification</w:t>
      </w:r>
    </w:p>
    <w:p w:rsidR="00FA166F" w:rsidRPr="00F754D3" w:rsidRDefault="00FA166F" w:rsidP="00FA166F">
      <w:pPr>
        <w:suppressAutoHyphens/>
        <w:ind w:left="720" w:hanging="11"/>
        <w:rPr>
          <w:sz w:val="20"/>
        </w:rPr>
      </w:pPr>
      <w:r w:rsidRPr="00F754D3">
        <w:rPr>
          <w:sz w:val="20"/>
        </w:rPr>
        <w:t>At any time, DPTI may review the prequalification status of a company and in its absolute discretion, rescind the company’s prequalification or reduce the level of prequalification as a result of:</w:t>
      </w:r>
    </w:p>
    <w:p w:rsidR="00FA166F" w:rsidRPr="00F754D3" w:rsidRDefault="00FA166F" w:rsidP="00367F0B">
      <w:pPr>
        <w:numPr>
          <w:ilvl w:val="0"/>
          <w:numId w:val="14"/>
        </w:numPr>
        <w:suppressAutoHyphens/>
        <w:spacing w:before="120"/>
        <w:ind w:hanging="357"/>
        <w:rPr>
          <w:sz w:val="20"/>
        </w:rPr>
      </w:pPr>
      <w:r w:rsidRPr="00F754D3">
        <w:rPr>
          <w:sz w:val="20"/>
        </w:rPr>
        <w:t xml:space="preserve">in DPTI’s opinion, unsatisfactory performance by the company on a contract for any client; </w:t>
      </w:r>
    </w:p>
    <w:p w:rsidR="00FA166F" w:rsidRPr="00F754D3" w:rsidRDefault="00FA166F" w:rsidP="00367F0B">
      <w:pPr>
        <w:numPr>
          <w:ilvl w:val="0"/>
          <w:numId w:val="14"/>
        </w:numPr>
        <w:suppressAutoHyphens/>
        <w:spacing w:before="120"/>
        <w:ind w:hanging="357"/>
        <w:rPr>
          <w:sz w:val="20"/>
        </w:rPr>
      </w:pPr>
      <w:r w:rsidRPr="00F754D3">
        <w:rPr>
          <w:sz w:val="20"/>
        </w:rPr>
        <w:t xml:space="preserve">material changes to a company’s organisational structure, third party certification or its technical, financial or management capacity; or </w:t>
      </w:r>
    </w:p>
    <w:p w:rsidR="00FA166F" w:rsidRPr="00F754D3" w:rsidRDefault="00FA166F" w:rsidP="00367F0B">
      <w:pPr>
        <w:numPr>
          <w:ilvl w:val="0"/>
          <w:numId w:val="14"/>
        </w:numPr>
        <w:suppressAutoHyphens/>
        <w:spacing w:before="120"/>
        <w:ind w:hanging="357"/>
        <w:rPr>
          <w:sz w:val="20"/>
        </w:rPr>
      </w:pPr>
      <w:r w:rsidRPr="00F754D3">
        <w:rPr>
          <w:sz w:val="20"/>
        </w:rPr>
        <w:t>a failure to comply with the terms and conditions of prequalification</w:t>
      </w:r>
      <w:r>
        <w:rPr>
          <w:sz w:val="20"/>
        </w:rPr>
        <w:t>.</w:t>
      </w:r>
    </w:p>
    <w:p w:rsidR="00FA166F" w:rsidRPr="00F754D3" w:rsidRDefault="00FA166F" w:rsidP="00FA166F">
      <w:pPr>
        <w:suppressAutoHyphens/>
        <w:ind w:left="720" w:hanging="11"/>
        <w:rPr>
          <w:sz w:val="20"/>
        </w:rPr>
      </w:pPr>
    </w:p>
    <w:p w:rsidR="00FA166F" w:rsidRPr="00F754D3" w:rsidRDefault="00FA166F" w:rsidP="00FA166F">
      <w:pPr>
        <w:suppressAutoHyphens/>
        <w:ind w:left="720" w:hanging="11"/>
        <w:rPr>
          <w:sz w:val="20"/>
        </w:rPr>
      </w:pPr>
      <w:r w:rsidRPr="00F754D3">
        <w:rPr>
          <w:sz w:val="20"/>
        </w:rPr>
        <w:t xml:space="preserve">Before such action is taken, the Contractor will be given an opportunity to show </w:t>
      </w:r>
      <w:proofErr w:type="gramStart"/>
      <w:r w:rsidRPr="00F754D3">
        <w:rPr>
          <w:sz w:val="20"/>
        </w:rPr>
        <w:t>cause</w:t>
      </w:r>
      <w:proofErr w:type="gramEnd"/>
      <w:r w:rsidRPr="00F754D3">
        <w:rPr>
          <w:sz w:val="20"/>
        </w:rPr>
        <w:t xml:space="preserve"> why the prequalification should not be rescinded or reduced.  The Contractor will also be given details of the matters prompting the request to show cause. </w:t>
      </w:r>
    </w:p>
    <w:p w:rsidR="00FA166F" w:rsidRPr="00F754D3" w:rsidRDefault="00FA166F" w:rsidP="00FA166F">
      <w:pPr>
        <w:suppressAutoHyphens/>
        <w:spacing w:after="120"/>
        <w:ind w:left="720" w:hanging="720"/>
        <w:rPr>
          <w:sz w:val="20"/>
        </w:rPr>
      </w:pPr>
      <w:r w:rsidRPr="00F754D3">
        <w:rPr>
          <w:sz w:val="20"/>
        </w:rPr>
        <w:br w:type="page"/>
      </w:r>
    </w:p>
    <w:p w:rsidR="00FA166F" w:rsidRPr="00F754D3" w:rsidRDefault="00FA166F" w:rsidP="00FA166F">
      <w:pPr>
        <w:suppressAutoHyphens/>
        <w:spacing w:after="120"/>
        <w:ind w:left="720" w:hanging="720"/>
        <w:rPr>
          <w:b/>
          <w:sz w:val="20"/>
        </w:rPr>
      </w:pPr>
      <w:r w:rsidRPr="00F754D3">
        <w:rPr>
          <w:b/>
          <w:sz w:val="20"/>
        </w:rPr>
        <w:t>6.</w:t>
      </w:r>
      <w:r w:rsidRPr="00F754D3">
        <w:rPr>
          <w:b/>
          <w:sz w:val="20"/>
        </w:rPr>
        <w:tab/>
      </w:r>
      <w:r w:rsidR="00DE7B8A">
        <w:rPr>
          <w:b/>
          <w:sz w:val="20"/>
        </w:rPr>
        <w:t>Conditional</w:t>
      </w:r>
      <w:r w:rsidRPr="00F754D3">
        <w:rPr>
          <w:b/>
          <w:sz w:val="20"/>
        </w:rPr>
        <w:t xml:space="preserve"> Prequalification</w:t>
      </w:r>
    </w:p>
    <w:p w:rsidR="006A757E" w:rsidRDefault="006A757E" w:rsidP="00DE7B8A">
      <w:pPr>
        <w:suppressAutoHyphens/>
        <w:ind w:left="709"/>
        <w:rPr>
          <w:sz w:val="20"/>
        </w:rPr>
      </w:pPr>
      <w:r w:rsidRPr="006A757E">
        <w:rPr>
          <w:sz w:val="20"/>
        </w:rPr>
        <w:t xml:space="preserve">Where an Applicant does not meet every specified eligibility criterion, but </w:t>
      </w:r>
      <w:r w:rsidR="00DE7B8A">
        <w:rPr>
          <w:sz w:val="20"/>
        </w:rPr>
        <w:t>DPTI</w:t>
      </w:r>
      <w:r w:rsidRPr="006A757E">
        <w:rPr>
          <w:sz w:val="20"/>
        </w:rPr>
        <w:t xml:space="preserve"> considers</w:t>
      </w:r>
      <w:r>
        <w:rPr>
          <w:sz w:val="20"/>
        </w:rPr>
        <w:t xml:space="preserve"> </w:t>
      </w:r>
      <w:r w:rsidRPr="006A757E">
        <w:rPr>
          <w:sz w:val="20"/>
        </w:rPr>
        <w:t>that there will be benefits by allowing that company to produce precast concrete at</w:t>
      </w:r>
      <w:r>
        <w:rPr>
          <w:sz w:val="20"/>
        </w:rPr>
        <w:t xml:space="preserve"> </w:t>
      </w:r>
      <w:r w:rsidRPr="006A757E">
        <w:rPr>
          <w:sz w:val="20"/>
        </w:rPr>
        <w:t>a particular facility, the Applicant may be granted ‘Conditional Prequalification’. An example of this could be</w:t>
      </w:r>
      <w:r>
        <w:rPr>
          <w:sz w:val="20"/>
        </w:rPr>
        <w:t xml:space="preserve"> </w:t>
      </w:r>
      <w:r w:rsidRPr="006A757E">
        <w:rPr>
          <w:sz w:val="20"/>
        </w:rPr>
        <w:t xml:space="preserve">where a company establishes a new </w:t>
      </w:r>
      <w:proofErr w:type="spellStart"/>
      <w:r w:rsidRPr="006A757E">
        <w:rPr>
          <w:sz w:val="20"/>
        </w:rPr>
        <w:t>precasting</w:t>
      </w:r>
      <w:proofErr w:type="spellEnd"/>
      <w:r w:rsidRPr="006A757E">
        <w:rPr>
          <w:sz w:val="20"/>
        </w:rPr>
        <w:t xml:space="preserve"> facility, which has suitably experienced personnel and</w:t>
      </w:r>
      <w:r w:rsidR="00DE7B8A">
        <w:rPr>
          <w:sz w:val="20"/>
        </w:rPr>
        <w:t xml:space="preserve"> </w:t>
      </w:r>
      <w:r w:rsidRPr="006A757E">
        <w:rPr>
          <w:sz w:val="20"/>
        </w:rPr>
        <w:t>satisfies the requirements for systems and other resources, but it does not yet have a proven track record.</w:t>
      </w:r>
    </w:p>
    <w:p w:rsidR="00DE7B8A" w:rsidRPr="006A757E" w:rsidRDefault="00DE7B8A" w:rsidP="00DE7B8A">
      <w:pPr>
        <w:suppressAutoHyphens/>
        <w:ind w:left="709"/>
        <w:rPr>
          <w:sz w:val="20"/>
        </w:rPr>
      </w:pPr>
    </w:p>
    <w:p w:rsidR="00A90421" w:rsidRDefault="006A757E" w:rsidP="00DE7B8A">
      <w:pPr>
        <w:suppressAutoHyphens/>
        <w:ind w:left="709"/>
        <w:rPr>
          <w:sz w:val="20"/>
        </w:rPr>
      </w:pPr>
      <w:r w:rsidRPr="006A757E">
        <w:rPr>
          <w:sz w:val="20"/>
        </w:rPr>
        <w:t>Providing the conditionally prequalified facility continues to comply with the nominated conditions of</w:t>
      </w:r>
      <w:r w:rsidR="00DE7B8A">
        <w:rPr>
          <w:sz w:val="20"/>
        </w:rPr>
        <w:t xml:space="preserve"> </w:t>
      </w:r>
      <w:r w:rsidRPr="006A757E">
        <w:rPr>
          <w:sz w:val="20"/>
        </w:rPr>
        <w:t>prequalification, it will be eligible to tender for contracts in the categories for which it is conditionally</w:t>
      </w:r>
      <w:r w:rsidR="00DE7B8A">
        <w:rPr>
          <w:sz w:val="20"/>
        </w:rPr>
        <w:t xml:space="preserve"> </w:t>
      </w:r>
      <w:r w:rsidRPr="006A757E">
        <w:rPr>
          <w:sz w:val="20"/>
        </w:rPr>
        <w:t>prequalified.</w:t>
      </w:r>
    </w:p>
    <w:p w:rsidR="00DE7B8A" w:rsidRPr="006A757E" w:rsidRDefault="00DE7B8A" w:rsidP="006A757E">
      <w:pPr>
        <w:suppressAutoHyphens/>
        <w:ind w:left="720" w:hanging="11"/>
        <w:rPr>
          <w:sz w:val="20"/>
        </w:rPr>
      </w:pPr>
    </w:p>
    <w:p w:rsidR="00FA166F" w:rsidRPr="00F754D3" w:rsidRDefault="00FA166F" w:rsidP="00367F0B">
      <w:pPr>
        <w:numPr>
          <w:ilvl w:val="0"/>
          <w:numId w:val="13"/>
        </w:numPr>
        <w:suppressAutoHyphens/>
        <w:rPr>
          <w:b/>
          <w:sz w:val="20"/>
        </w:rPr>
      </w:pPr>
      <w:r w:rsidRPr="00F754D3">
        <w:rPr>
          <w:b/>
          <w:sz w:val="20"/>
        </w:rPr>
        <w:t>Contractor to Advise</w:t>
      </w:r>
    </w:p>
    <w:p w:rsidR="00FA166F" w:rsidRPr="00F754D3" w:rsidRDefault="00FA166F" w:rsidP="00FA166F">
      <w:pPr>
        <w:suppressAutoHyphens/>
        <w:ind w:left="360"/>
        <w:rPr>
          <w:b/>
          <w:sz w:val="20"/>
        </w:rPr>
      </w:pPr>
    </w:p>
    <w:p w:rsidR="00FA166F" w:rsidRPr="00F754D3" w:rsidRDefault="00FA166F" w:rsidP="00FA166F">
      <w:pPr>
        <w:pStyle w:val="BodyTextIndent"/>
        <w:ind w:left="709" w:hanging="709"/>
        <w:rPr>
          <w:rFonts w:ascii="Arial" w:hAnsi="Arial"/>
          <w:sz w:val="20"/>
        </w:rPr>
      </w:pPr>
      <w:r w:rsidRPr="00F754D3">
        <w:rPr>
          <w:rFonts w:ascii="Arial" w:hAnsi="Arial"/>
          <w:sz w:val="20"/>
        </w:rPr>
        <w:tab/>
        <w:t>A prequalified company must immediately advise the Director, Contracting and Procurement, DPTI of any material change to:</w:t>
      </w:r>
    </w:p>
    <w:p w:rsidR="00FA166F" w:rsidRPr="00F754D3" w:rsidRDefault="00FA166F" w:rsidP="00367F0B">
      <w:pPr>
        <w:numPr>
          <w:ilvl w:val="0"/>
          <w:numId w:val="14"/>
        </w:numPr>
        <w:suppressAutoHyphens/>
        <w:spacing w:before="80"/>
        <w:ind w:left="1135" w:hanging="284"/>
        <w:rPr>
          <w:sz w:val="20"/>
        </w:rPr>
      </w:pPr>
      <w:r w:rsidRPr="00F754D3">
        <w:rPr>
          <w:sz w:val="20"/>
        </w:rPr>
        <w:t>its financial capacity,</w:t>
      </w:r>
      <w:r w:rsidR="000F6C0E">
        <w:rPr>
          <w:sz w:val="20"/>
        </w:rPr>
        <w:t xml:space="preserve"> contact details,</w:t>
      </w:r>
      <w:r w:rsidRPr="00F754D3">
        <w:rPr>
          <w:sz w:val="20"/>
        </w:rPr>
        <w:t xml:space="preserve"> ownership, resources or technical capacity; and /or</w:t>
      </w:r>
    </w:p>
    <w:p w:rsidR="00FA166F" w:rsidRPr="00F754D3" w:rsidRDefault="00FA166F" w:rsidP="00367F0B">
      <w:pPr>
        <w:numPr>
          <w:ilvl w:val="0"/>
          <w:numId w:val="14"/>
        </w:numPr>
        <w:suppressAutoHyphens/>
        <w:spacing w:before="80"/>
        <w:ind w:left="1135" w:hanging="284"/>
        <w:rPr>
          <w:sz w:val="20"/>
        </w:rPr>
      </w:pPr>
      <w:r w:rsidRPr="00F754D3">
        <w:rPr>
          <w:sz w:val="20"/>
        </w:rPr>
        <w:t>any convictions or prohibition notices under Work Health and Safety legislation or environmental legislation.</w:t>
      </w:r>
    </w:p>
    <w:p w:rsidR="00FA166F" w:rsidRPr="00F754D3" w:rsidRDefault="00FA166F" w:rsidP="00FA166F">
      <w:pPr>
        <w:pStyle w:val="BodyTextIndent"/>
        <w:ind w:left="709" w:hanging="709"/>
        <w:rPr>
          <w:rFonts w:ascii="Arial" w:hAnsi="Arial"/>
          <w:sz w:val="20"/>
        </w:rPr>
      </w:pPr>
    </w:p>
    <w:p w:rsidR="00FA166F" w:rsidRPr="00F754D3" w:rsidRDefault="00FA166F" w:rsidP="00FA166F">
      <w:pPr>
        <w:suppressAutoHyphens/>
        <w:ind w:left="709" w:hanging="709"/>
        <w:rPr>
          <w:b/>
          <w:bCs/>
          <w:sz w:val="20"/>
        </w:rPr>
      </w:pPr>
      <w:r w:rsidRPr="00F754D3">
        <w:rPr>
          <w:b/>
          <w:bCs/>
          <w:sz w:val="20"/>
        </w:rPr>
        <w:t>8.</w:t>
      </w:r>
      <w:r w:rsidRPr="00F754D3">
        <w:rPr>
          <w:b/>
          <w:bCs/>
          <w:sz w:val="20"/>
        </w:rPr>
        <w:tab/>
        <w:t>Confidentiality</w:t>
      </w:r>
    </w:p>
    <w:p w:rsidR="00FA166F" w:rsidRPr="00F754D3" w:rsidRDefault="00FA166F" w:rsidP="00FA166F">
      <w:pPr>
        <w:suppressAutoHyphens/>
        <w:ind w:left="709" w:hanging="709"/>
        <w:rPr>
          <w:sz w:val="20"/>
        </w:rPr>
      </w:pPr>
    </w:p>
    <w:p w:rsidR="00FA166F" w:rsidRPr="00F754D3" w:rsidRDefault="00FA166F" w:rsidP="00FA166F">
      <w:pPr>
        <w:suppressAutoHyphens/>
        <w:ind w:left="720" w:hanging="11"/>
        <w:rPr>
          <w:sz w:val="20"/>
        </w:rPr>
      </w:pPr>
      <w:r w:rsidRPr="00F754D3">
        <w:rPr>
          <w:sz w:val="20"/>
        </w:rPr>
        <w:t>Except as required by law, DPTI will ensure the confidentiality of all information supplied by companies is maintained and will sign an appropriate confidentiality agreement if requested.</w:t>
      </w:r>
    </w:p>
    <w:p w:rsidR="00FA166F" w:rsidRPr="00F754D3" w:rsidRDefault="00FA166F" w:rsidP="00FA166F">
      <w:pPr>
        <w:suppressAutoHyphens/>
        <w:ind w:left="709" w:hanging="709"/>
        <w:rPr>
          <w:b/>
          <w:bCs/>
          <w:sz w:val="20"/>
        </w:rPr>
      </w:pPr>
    </w:p>
    <w:p w:rsidR="00FA166F" w:rsidRPr="00F754D3" w:rsidRDefault="00FA166F" w:rsidP="00FA166F">
      <w:pPr>
        <w:suppressAutoHyphens/>
        <w:ind w:left="709" w:hanging="709"/>
        <w:rPr>
          <w:b/>
          <w:bCs/>
          <w:sz w:val="20"/>
        </w:rPr>
      </w:pPr>
      <w:r w:rsidRPr="00F754D3">
        <w:rPr>
          <w:b/>
          <w:bCs/>
          <w:sz w:val="20"/>
        </w:rPr>
        <w:t>9.</w:t>
      </w:r>
      <w:r w:rsidRPr="00F754D3">
        <w:rPr>
          <w:b/>
          <w:bCs/>
          <w:sz w:val="20"/>
        </w:rPr>
        <w:tab/>
        <w:t>Publication of Prequalification Status</w:t>
      </w:r>
    </w:p>
    <w:p w:rsidR="00FA166F" w:rsidRPr="00F754D3" w:rsidRDefault="00FA166F" w:rsidP="00FA166F">
      <w:pPr>
        <w:suppressAutoHyphens/>
        <w:ind w:left="709" w:hanging="709"/>
        <w:rPr>
          <w:sz w:val="20"/>
        </w:rPr>
      </w:pPr>
    </w:p>
    <w:p w:rsidR="00FA166F" w:rsidRPr="00F754D3" w:rsidRDefault="00FA166F" w:rsidP="00FA166F">
      <w:pPr>
        <w:suppressAutoHyphens/>
        <w:ind w:left="709" w:right="-141"/>
        <w:rPr>
          <w:sz w:val="20"/>
        </w:rPr>
      </w:pPr>
      <w:r w:rsidRPr="00F754D3">
        <w:rPr>
          <w:sz w:val="20"/>
        </w:rPr>
        <w:t>A list of the prequalified companies will be disclosed to others on the following web site:</w:t>
      </w:r>
      <w:hyperlink r:id="rId17" w:history="1">
        <w:r w:rsidRPr="00F754D3">
          <w:rPr>
            <w:rStyle w:val="Hyperlink"/>
            <w:sz w:val="20"/>
          </w:rPr>
          <w:t xml:space="preserve"> http://www.dpti.sa.gov.au/documents/contractsandtenders/prequalification</w:t>
        </w:r>
      </w:hyperlink>
      <w:r w:rsidRPr="00F754D3">
        <w:rPr>
          <w:sz w:val="20"/>
        </w:rPr>
        <w:t>.</w:t>
      </w:r>
    </w:p>
    <w:p w:rsidR="00FA166F" w:rsidRPr="00F754D3" w:rsidRDefault="00FA166F" w:rsidP="00FA166F">
      <w:pPr>
        <w:suppressAutoHyphens/>
        <w:ind w:left="709"/>
        <w:rPr>
          <w:sz w:val="20"/>
        </w:rPr>
      </w:pPr>
    </w:p>
    <w:p w:rsidR="00FA166F" w:rsidRPr="00F754D3" w:rsidRDefault="00FA166F" w:rsidP="00FA166F">
      <w:pPr>
        <w:suppressAutoHyphens/>
        <w:ind w:left="709"/>
        <w:rPr>
          <w:sz w:val="20"/>
        </w:rPr>
      </w:pPr>
      <w:r w:rsidRPr="00F754D3">
        <w:rPr>
          <w:sz w:val="20"/>
        </w:rPr>
        <w:t>While a company may communicate its DPTI prequalification status to others, it must not represent that this prequalification necessarily means that they are competent to undertake work for organisations other than DPTI.  No responsibility is accepted for any consequences arising from the use of the prequalification scheme other than for DPTI contracts.</w:t>
      </w:r>
    </w:p>
    <w:p w:rsidR="00FA166F" w:rsidRPr="00F754D3" w:rsidRDefault="00FA166F" w:rsidP="00FA166F">
      <w:pPr>
        <w:suppressAutoHyphens/>
        <w:ind w:left="709" w:hanging="709"/>
        <w:rPr>
          <w:b/>
          <w:bCs/>
          <w:sz w:val="20"/>
        </w:rPr>
      </w:pPr>
    </w:p>
    <w:p w:rsidR="00FA166F" w:rsidRPr="00F754D3" w:rsidRDefault="00FA166F" w:rsidP="00FA166F">
      <w:pPr>
        <w:suppressAutoHyphens/>
        <w:ind w:left="709" w:hanging="709"/>
        <w:rPr>
          <w:b/>
          <w:bCs/>
          <w:sz w:val="20"/>
        </w:rPr>
      </w:pPr>
      <w:r w:rsidRPr="00F754D3">
        <w:rPr>
          <w:b/>
          <w:bCs/>
          <w:sz w:val="20"/>
        </w:rPr>
        <w:t>10.</w:t>
      </w:r>
      <w:r w:rsidRPr="00F754D3">
        <w:rPr>
          <w:b/>
          <w:bCs/>
          <w:sz w:val="20"/>
        </w:rPr>
        <w:tab/>
        <w:t>Disclaimer</w:t>
      </w:r>
    </w:p>
    <w:p w:rsidR="00FA166F" w:rsidRPr="00F754D3" w:rsidRDefault="00FA166F" w:rsidP="00FA166F">
      <w:pPr>
        <w:suppressAutoHyphens/>
        <w:ind w:left="709" w:hanging="709"/>
        <w:rPr>
          <w:sz w:val="20"/>
        </w:rPr>
      </w:pPr>
    </w:p>
    <w:p w:rsidR="00FA166F" w:rsidRPr="00F754D3" w:rsidRDefault="00FA166F" w:rsidP="00FA166F">
      <w:pPr>
        <w:suppressAutoHyphens/>
        <w:ind w:left="709"/>
        <w:rPr>
          <w:sz w:val="20"/>
        </w:rPr>
      </w:pPr>
      <w:r w:rsidRPr="00F754D3">
        <w:rPr>
          <w:sz w:val="20"/>
        </w:rPr>
        <w:t xml:space="preserve">The decision to approve or reject, with or without conditions, any application for prequalification is at the absolute discretion of DPTI. DPTI is not liable for any costs or damage incurred in the exercise of such discretion or the discretion to rescind or downgrade any prequalification. </w:t>
      </w:r>
    </w:p>
    <w:p w:rsidR="00FA166F" w:rsidRPr="00F754D3" w:rsidRDefault="00FA166F" w:rsidP="00FA166F">
      <w:pPr>
        <w:suppressAutoHyphens/>
        <w:ind w:left="709"/>
        <w:rPr>
          <w:sz w:val="20"/>
        </w:rPr>
      </w:pPr>
    </w:p>
    <w:p w:rsidR="00FA166F" w:rsidRPr="00F754D3" w:rsidRDefault="00FA166F" w:rsidP="00FA166F">
      <w:pPr>
        <w:suppressAutoHyphens/>
        <w:ind w:left="709"/>
        <w:rPr>
          <w:sz w:val="20"/>
        </w:rPr>
      </w:pPr>
      <w:r w:rsidRPr="00F754D3">
        <w:rPr>
          <w:sz w:val="20"/>
        </w:rPr>
        <w:t>While other organisations may reference this prequalification system, DPTI:</w:t>
      </w:r>
    </w:p>
    <w:p w:rsidR="00FA166F" w:rsidRPr="00F754D3" w:rsidRDefault="00FA166F" w:rsidP="00367F0B">
      <w:pPr>
        <w:numPr>
          <w:ilvl w:val="0"/>
          <w:numId w:val="14"/>
        </w:numPr>
        <w:suppressAutoHyphens/>
        <w:spacing w:before="80"/>
        <w:ind w:left="1135" w:hanging="284"/>
        <w:rPr>
          <w:sz w:val="20"/>
        </w:rPr>
      </w:pPr>
      <w:r w:rsidRPr="00F754D3">
        <w:rPr>
          <w:sz w:val="20"/>
        </w:rPr>
        <w:t>assumes no responsibility whatsoever to any other party in any matter associated with this prequalification system;</w:t>
      </w:r>
    </w:p>
    <w:p w:rsidR="00FA166F" w:rsidRPr="00F754D3" w:rsidRDefault="00FA166F" w:rsidP="00367F0B">
      <w:pPr>
        <w:numPr>
          <w:ilvl w:val="0"/>
          <w:numId w:val="14"/>
        </w:numPr>
        <w:suppressAutoHyphens/>
        <w:spacing w:before="80"/>
        <w:ind w:left="1135" w:hanging="284"/>
        <w:rPr>
          <w:sz w:val="20"/>
        </w:rPr>
      </w:pPr>
      <w:r w:rsidRPr="00F754D3">
        <w:rPr>
          <w:sz w:val="20"/>
        </w:rPr>
        <w:t xml:space="preserve">has developed this system solely for its internal purposes; and </w:t>
      </w:r>
    </w:p>
    <w:p w:rsidR="00FA166F" w:rsidRPr="00F754D3" w:rsidRDefault="00FA166F" w:rsidP="00367F0B">
      <w:pPr>
        <w:numPr>
          <w:ilvl w:val="0"/>
          <w:numId w:val="14"/>
        </w:numPr>
        <w:suppressAutoHyphens/>
        <w:spacing w:before="80"/>
        <w:ind w:left="1135" w:hanging="284"/>
        <w:rPr>
          <w:sz w:val="20"/>
        </w:rPr>
      </w:pPr>
      <w:r w:rsidRPr="00F754D3">
        <w:rPr>
          <w:sz w:val="20"/>
        </w:rPr>
        <w:t xml:space="preserve">does not represent or warrant that any of the prequalified companies are technically capable, financially sound or suitable for any non-DPTI project. </w:t>
      </w:r>
    </w:p>
    <w:p w:rsidR="00FA166F" w:rsidRPr="00F754D3" w:rsidRDefault="00FA166F" w:rsidP="00FA166F">
      <w:pPr>
        <w:suppressAutoHyphens/>
        <w:ind w:left="709"/>
        <w:rPr>
          <w:sz w:val="20"/>
        </w:rPr>
      </w:pPr>
    </w:p>
    <w:p w:rsidR="00FA166F" w:rsidRPr="008615A4" w:rsidRDefault="00FA166F" w:rsidP="00FB0988">
      <w:pPr>
        <w:suppressAutoHyphens/>
        <w:ind w:left="709"/>
        <w:rPr>
          <w:sz w:val="22"/>
          <w:szCs w:val="22"/>
        </w:rPr>
      </w:pPr>
      <w:r w:rsidRPr="00F754D3">
        <w:rPr>
          <w:sz w:val="20"/>
        </w:rPr>
        <w:t xml:space="preserve">Any organisation seeking to deal with prequalified companies must rely on </w:t>
      </w:r>
      <w:r>
        <w:rPr>
          <w:sz w:val="20"/>
        </w:rPr>
        <w:t>its</w:t>
      </w:r>
      <w:r w:rsidRPr="00F754D3">
        <w:rPr>
          <w:sz w:val="20"/>
        </w:rPr>
        <w:t xml:space="preserve"> own enquiries and bears all risks associated with the use of this prequalification system.</w:t>
      </w:r>
    </w:p>
    <w:sectPr w:rsidR="00FA166F" w:rsidRPr="008615A4" w:rsidSect="002B70CF">
      <w:headerReference w:type="default" r:id="rId18"/>
      <w:pgSz w:w="11907" w:h="16839" w:code="9"/>
      <w:pgMar w:top="1928" w:right="1440" w:bottom="794" w:left="1440" w:header="284" w:footer="3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99" w:rsidRDefault="00787799" w:rsidP="00D436D6">
      <w:r>
        <w:separator/>
      </w:r>
    </w:p>
  </w:endnote>
  <w:endnote w:type="continuationSeparator" w:id="0">
    <w:p w:rsidR="00787799" w:rsidRDefault="00787799" w:rsidP="00D4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62" w:rsidRPr="008B6751" w:rsidRDefault="00D96562" w:rsidP="002B70CF">
    <w:pPr>
      <w:pStyle w:val="Footer"/>
      <w:tabs>
        <w:tab w:val="clear" w:pos="8306"/>
        <w:tab w:val="right" w:pos="9214"/>
      </w:tabs>
      <w:rPr>
        <w:rFonts w:ascii="Bookman Old Style" w:hAnsi="Bookman Old Style"/>
        <w:b/>
        <w:sz w:val="16"/>
        <w:szCs w:val="16"/>
      </w:rPr>
    </w:pPr>
  </w:p>
  <w:p w:rsidR="00D96562" w:rsidRDefault="00322A39" w:rsidP="002B70CF">
    <w:pPr>
      <w:pStyle w:val="Footer"/>
      <w:pBdr>
        <w:top w:val="single" w:sz="4" w:space="1" w:color="auto"/>
      </w:pBdr>
      <w:tabs>
        <w:tab w:val="clear" w:pos="8306"/>
        <w:tab w:val="right" w:pos="9072"/>
      </w:tabs>
      <w:rPr>
        <w:rFonts w:ascii="Bookman Old Style" w:hAnsi="Bookman Old Style"/>
        <w:b/>
        <w:sz w:val="18"/>
        <w:szCs w:val="18"/>
      </w:rPr>
    </w:pPr>
    <w:r>
      <w:rPr>
        <w:rFonts w:ascii="Bookman Old Style" w:hAnsi="Bookman Old Style"/>
        <w:b/>
        <w:sz w:val="18"/>
        <w:szCs w:val="18"/>
      </w:rPr>
      <w:t>March 2017</w:t>
    </w:r>
    <w:r w:rsidR="00D96562">
      <w:rPr>
        <w:rFonts w:ascii="Bookman Old Style" w:hAnsi="Bookman Old Style"/>
        <w:b/>
        <w:sz w:val="18"/>
        <w:szCs w:val="18"/>
      </w:rPr>
      <w:tab/>
    </w:r>
    <w:r w:rsidR="00D96562">
      <w:rPr>
        <w:rFonts w:ascii="Bookman Old Style" w:hAnsi="Bookman Old Style"/>
        <w:b/>
        <w:sz w:val="18"/>
        <w:szCs w:val="18"/>
      </w:rPr>
      <w:tab/>
    </w:r>
    <w:r w:rsidR="00D96562" w:rsidRPr="00D048B6">
      <w:rPr>
        <w:rFonts w:ascii="Bookman Old Style" w:hAnsi="Bookman Old Style"/>
        <w:b/>
        <w:sz w:val="18"/>
        <w:szCs w:val="18"/>
      </w:rPr>
      <w:fldChar w:fldCharType="begin"/>
    </w:r>
    <w:r w:rsidR="00D96562" w:rsidRPr="00D048B6">
      <w:rPr>
        <w:rFonts w:ascii="Bookman Old Style" w:hAnsi="Bookman Old Style"/>
        <w:b/>
        <w:sz w:val="18"/>
        <w:szCs w:val="18"/>
      </w:rPr>
      <w:instrText xml:space="preserve"> PAGE   \* MERGEFORMAT </w:instrText>
    </w:r>
    <w:r w:rsidR="00D96562" w:rsidRPr="00D048B6">
      <w:rPr>
        <w:rFonts w:ascii="Bookman Old Style" w:hAnsi="Bookman Old Style"/>
        <w:b/>
        <w:sz w:val="18"/>
        <w:szCs w:val="18"/>
      </w:rPr>
      <w:fldChar w:fldCharType="separate"/>
    </w:r>
    <w:r w:rsidR="00DE7B8A">
      <w:rPr>
        <w:rFonts w:ascii="Bookman Old Style" w:hAnsi="Bookman Old Style"/>
        <w:b/>
        <w:noProof/>
        <w:sz w:val="18"/>
        <w:szCs w:val="18"/>
      </w:rPr>
      <w:t>8</w:t>
    </w:r>
    <w:r w:rsidR="00D96562" w:rsidRPr="00D048B6">
      <w:rPr>
        <w:rFonts w:ascii="Bookman Old Style" w:hAnsi="Bookman Old Style"/>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99" w:rsidRDefault="00787799" w:rsidP="00D436D6">
      <w:r>
        <w:separator/>
      </w:r>
    </w:p>
  </w:footnote>
  <w:footnote w:type="continuationSeparator" w:id="0">
    <w:p w:rsidR="00787799" w:rsidRDefault="00787799" w:rsidP="00D4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2" w:rsidRDefault="004D770B">
    <w:pPr>
      <w:pStyle w:val="Header"/>
    </w:pPr>
    <w:r>
      <w:rPr>
        <w:noProof/>
        <w:lang w:eastAsia="en-AU"/>
      </w:rPr>
      <mc:AlternateContent>
        <mc:Choice Requires="wps">
          <w:drawing>
            <wp:anchor distT="0" distB="0" distL="114300" distR="114300" simplePos="0" relativeHeight="251658752" behindDoc="0" locked="0" layoutInCell="0" allowOverlap="1">
              <wp:simplePos x="0" y="0"/>
              <wp:positionH relativeFrom="column">
                <wp:posOffset>103505</wp:posOffset>
              </wp:positionH>
              <wp:positionV relativeFrom="paragraph">
                <wp:posOffset>114935</wp:posOffset>
              </wp:positionV>
              <wp:extent cx="6126480" cy="723900"/>
              <wp:effectExtent l="0" t="0" r="762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23900"/>
                      </a:xfrm>
                      <a:prstGeom prst="rect">
                        <a:avLst/>
                      </a:prstGeom>
                      <a:gradFill rotWithShape="0">
                        <a:gsLst>
                          <a:gs pos="0">
                            <a:srgbClr val="F2F2E6"/>
                          </a:gs>
                          <a:gs pos="100000">
                            <a:schemeClr val="accent3">
                              <a:lumMod val="50000"/>
                            </a:schemeClr>
                          </a:gs>
                        </a:gsLst>
                        <a:lin ang="0" scaled="1"/>
                      </a:gradFill>
                      <a:ln>
                        <a:noFill/>
                      </a:ln>
                      <a:extLst/>
                    </wps:spPr>
                    <wps:txbx>
                      <w:txbxContent>
                        <w:p w:rsidR="005836B2" w:rsidRDefault="005836B2" w:rsidP="002B70CF">
                          <w:pPr>
                            <w:jc w:val="center"/>
                            <w:rPr>
                              <w:rFonts w:ascii="Bookman Old Style" w:hAnsi="Bookman Old Style"/>
                              <w:b/>
                              <w:color w:val="000080"/>
                              <w:sz w:val="22"/>
                            </w:rPr>
                          </w:pPr>
                          <w:r>
                            <w:rPr>
                              <w:rFonts w:ascii="Bookman Old Style" w:hAnsi="Bookman Old Style"/>
                              <w:b/>
                              <w:color w:val="000080"/>
                              <w:sz w:val="22"/>
                            </w:rPr>
                            <w:t xml:space="preserve">DPTI – PREQUALIFICATION SCHEME FOR </w:t>
                          </w:r>
                          <w:r w:rsidR="00322A39">
                            <w:rPr>
                              <w:rFonts w:ascii="Bookman Old Style" w:hAnsi="Bookman Old Style"/>
                              <w:b/>
                              <w:color w:val="000080"/>
                              <w:sz w:val="22"/>
                            </w:rPr>
                            <w:t>PRECAST CONCRETE PRODUCTS</w:t>
                          </w:r>
                        </w:p>
                        <w:p w:rsidR="005836B2" w:rsidRPr="00322A39" w:rsidRDefault="005836B2" w:rsidP="002B70CF">
                          <w:pPr>
                            <w:jc w:val="center"/>
                            <w:rPr>
                              <w:rFonts w:ascii="Bookman Old Style" w:hAnsi="Bookman Old Style"/>
                              <w:b/>
                              <w:color w:val="525252" w:themeColor="accent3" w:themeShade="80"/>
                              <w:sz w:val="22"/>
                            </w:rPr>
                          </w:pPr>
                        </w:p>
                        <w:p w:rsidR="005836B2" w:rsidRPr="00322A39" w:rsidRDefault="005836B2" w:rsidP="002B70CF">
                          <w:pPr>
                            <w:rPr>
                              <w:rFonts w:ascii="Bookman Old Style" w:hAnsi="Bookman Old Style"/>
                              <w:b/>
                              <w:color w:val="525252" w:themeColor="accent3" w:themeShade="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8.15pt;margin-top:9.05pt;width:482.4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5XgIAAKcEAAAOAAAAZHJzL2Uyb0RvYy54bWysVE1vGyEQvVfqf0Dc6/2I4yQrr6PUqatK&#10;6YeUVD1jlt1FZRkK2LvJr+8AtmO1t6o+oIVhHm/em/HydhoU2QvrJOiaFrOcEqE5NFJ3Nf3+tHl3&#10;TYnzTDdMgRY1fRaO3q7evlmOphIl9KAaYQmCaFeNpqa996bKMsd7MTA3AyM0BluwA/O4tV3WWDYi&#10;+qCyMs8X2Qi2MRa4cA5P71OQriJ+2wruv7atE56omiI3H1cb121Ys9WSVZ1lppf8QIP9A4uBSY2P&#10;nqDumWdkZ+VfUIPkFhy0fsZhyKBtJRexBqymyP+o5rFnRsRaUBxnTjK5/wfLv+y/WSKbms4p0WxA&#10;i57E5Ml7mEhRBnlG4yq89Wjwnp/wHG2OpTrzAPynIxrWPdOduLMWxl6wBukVITM7S004LoBsx8/Q&#10;4Dts5yECTa0dgnaoBkF0tOn5ZE3gwvFwUZSL+TWGOMauyoubPHqXseqYbazzHwUMJHzU1KL1EZ3t&#10;H5wPbFh1vHIwqtlIpYgF/0P6Pmodno1BhznpgxjAetKxs912rSzZM+ymTbkpPyxinWi7O79d5OGX&#10;RAqNLE5JjHOh/UUMqd2AQiSwy5iQWMbeDymRc0BG6t2RkZKaoNqBEnGcKYHWJbVj88WaAhelw6oh&#10;1Jhw0wkKetAjuBMMSdb4aTvhvXC4heYZfUJh4is43fjRg32hZMRJqan7tWNWUKI+adTmppjPw2jF&#10;zfzyqsSNPY9szyNMc4SqqadYRvhc+zSOO2Nl1+NLqbs03GF/tDJa98rq0FU4DUmWNLlh3M738dbr&#10;/8vqNwAAAP//AwBQSwMEFAAGAAgAAAAhAI5xIpXdAAAACQEAAA8AAABkcnMvZG93bnJldi54bWxM&#10;T8FKw0AQvQv+wzKCF7GbbbHEmE0RofQgIo0Fr9PsmA1md0N228S/dzzZ08yb93jvTbmZXS/ONMYu&#10;eA1qkYEg3wTT+VbD4WN7n4OICb3BPnjS8EMRNtX1VYmFCZPf07lOrWATHwvUYFMaCiljY8lhXISB&#10;PHNfYXSYGI6tNCNObO56ucyytXTYeU6wONCLpea7PjkNd6GZPm162B72Nb5nZHev6m2n9e3N/PwE&#10;ItGc/sXwV5+rQ8WdjuHkTRQ94/WKlTxzBYL5x1zxcuTDaqlAVqW8/KD6BQAA//8DAFBLAQItABQA&#10;BgAIAAAAIQC2gziS/gAAAOEBAAATAAAAAAAAAAAAAAAAAAAAAABbQ29udGVudF9UeXBlc10ueG1s&#10;UEsBAi0AFAAGAAgAAAAhADj9If/WAAAAlAEAAAsAAAAAAAAAAAAAAAAALwEAAF9yZWxzLy5yZWxz&#10;UEsBAi0AFAAGAAgAAAAhAIMwpfleAgAApwQAAA4AAAAAAAAAAAAAAAAALgIAAGRycy9lMm9Eb2Mu&#10;eG1sUEsBAi0AFAAGAAgAAAAhAI5xIpXdAAAACQEAAA8AAAAAAAAAAAAAAAAAuAQAAGRycy9kb3du&#10;cmV2LnhtbFBLBQYAAAAABAAEAPMAAADCBQAAAAA=&#10;" o:allowincell="f" fillcolor="#f2f2e6" stroked="f">
              <v:fill color2="#525252 [1606]" angle="90" focus="100%" type="gradient"/>
              <v:textbox>
                <w:txbxContent>
                  <w:p w:rsidR="005836B2" w:rsidRDefault="005836B2" w:rsidP="002B70CF">
                    <w:pPr>
                      <w:jc w:val="center"/>
                      <w:rPr>
                        <w:rFonts w:ascii="Bookman Old Style" w:hAnsi="Bookman Old Style"/>
                        <w:b/>
                        <w:color w:val="000080"/>
                        <w:sz w:val="22"/>
                      </w:rPr>
                    </w:pPr>
                    <w:r>
                      <w:rPr>
                        <w:rFonts w:ascii="Bookman Old Style" w:hAnsi="Bookman Old Style"/>
                        <w:b/>
                        <w:color w:val="000080"/>
                        <w:sz w:val="22"/>
                      </w:rPr>
                      <w:t xml:space="preserve">DPTI – PREQUALIFICATION SCHEME FOR </w:t>
                    </w:r>
                    <w:r w:rsidR="00322A39">
                      <w:rPr>
                        <w:rFonts w:ascii="Bookman Old Style" w:hAnsi="Bookman Old Style"/>
                        <w:b/>
                        <w:color w:val="000080"/>
                        <w:sz w:val="22"/>
                      </w:rPr>
                      <w:t>PRECAST CONCRETE PRODUCTS</w:t>
                    </w:r>
                  </w:p>
                  <w:p w:rsidR="005836B2" w:rsidRPr="00322A39" w:rsidRDefault="005836B2" w:rsidP="002B70CF">
                    <w:pPr>
                      <w:jc w:val="center"/>
                      <w:rPr>
                        <w:rFonts w:ascii="Bookman Old Style" w:hAnsi="Bookman Old Style"/>
                        <w:b/>
                        <w:color w:val="525252" w:themeColor="accent3" w:themeShade="80"/>
                        <w:sz w:val="22"/>
                      </w:rPr>
                    </w:pPr>
                  </w:p>
                  <w:p w:rsidR="005836B2" w:rsidRPr="00322A39" w:rsidRDefault="005836B2" w:rsidP="002B70CF">
                    <w:pPr>
                      <w:rPr>
                        <w:rFonts w:ascii="Bookman Old Style" w:hAnsi="Bookman Old Style"/>
                        <w:b/>
                        <w:color w:val="525252" w:themeColor="accent3" w:themeShade="80"/>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2" w:rsidRDefault="005836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B8A">
      <w:rPr>
        <w:rStyle w:val="PageNumber"/>
        <w:noProof/>
      </w:rPr>
      <w:t>2</w:t>
    </w:r>
    <w:r>
      <w:rPr>
        <w:rStyle w:val="PageNumber"/>
      </w:rPr>
      <w:fldChar w:fldCharType="end"/>
    </w:r>
  </w:p>
  <w:p w:rsidR="005836B2" w:rsidRDefault="004D770B">
    <w:pPr>
      <w:pStyle w:val="Header"/>
    </w:pPr>
    <w:r>
      <w:rPr>
        <w:noProof/>
        <w:sz w:val="20"/>
        <w:lang w:eastAsia="en-AU"/>
      </w:rPr>
      <mc:AlternateContent>
        <mc:Choice Requires="wps">
          <w:drawing>
            <wp:anchor distT="0" distB="0" distL="114300" distR="114300" simplePos="0" relativeHeight="251655680" behindDoc="0" locked="0" layoutInCell="1" allowOverlap="1">
              <wp:simplePos x="0" y="0"/>
              <wp:positionH relativeFrom="column">
                <wp:posOffset>-67310</wp:posOffset>
              </wp:positionH>
              <wp:positionV relativeFrom="paragraph">
                <wp:posOffset>-29210</wp:posOffset>
              </wp:positionV>
              <wp:extent cx="5876925" cy="74358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43585"/>
                      </a:xfrm>
                      <a:prstGeom prst="rect">
                        <a:avLst/>
                      </a:prstGeom>
                      <a:gradFill rotWithShape="0">
                        <a:gsLst>
                          <a:gs pos="0">
                            <a:srgbClr val="F2F2E6"/>
                          </a:gs>
                          <a:gs pos="100000">
                            <a:schemeClr val="accent3">
                              <a:lumMod val="50000"/>
                            </a:schemeClr>
                          </a:gs>
                        </a:gsLst>
                        <a:lin ang="0" scaled="1"/>
                      </a:gradFill>
                      <a:ln>
                        <a:noFill/>
                      </a:ln>
                      <a:extLst/>
                    </wps:spPr>
                    <wps:txbx>
                      <w:txbxContent>
                        <w:p w:rsidR="005836B2" w:rsidRDefault="005836B2">
                          <w:pPr>
                            <w:jc w:val="center"/>
                            <w:rPr>
                              <w:rFonts w:ascii="Bookman Old Style" w:hAnsi="Bookman Old Style"/>
                              <w:b/>
                              <w:color w:val="000080"/>
                              <w:sz w:val="22"/>
                            </w:rPr>
                          </w:pPr>
                          <w:r>
                            <w:rPr>
                              <w:rFonts w:ascii="Bookman Old Style" w:hAnsi="Bookman Old Style"/>
                              <w:b/>
                              <w:color w:val="000080"/>
                              <w:sz w:val="22"/>
                            </w:rPr>
                            <w:t xml:space="preserve">DPTI – PREQUALIFICATION SCHEME FOR </w:t>
                          </w:r>
                          <w:r w:rsidR="00322A39">
                            <w:rPr>
                              <w:rFonts w:ascii="Bookman Old Style" w:hAnsi="Bookman Old Style"/>
                              <w:b/>
                              <w:color w:val="000080"/>
                              <w:sz w:val="22"/>
                            </w:rPr>
                            <w:t>PRECAST CONCRETE</w:t>
                          </w:r>
                        </w:p>
                        <w:p w:rsidR="005836B2" w:rsidRDefault="005836B2">
                          <w:pPr>
                            <w:jc w:val="center"/>
                            <w:rPr>
                              <w:rFonts w:ascii="Bookman Old Style" w:hAnsi="Bookman Old Style"/>
                              <w:b/>
                              <w:color w:val="000080"/>
                              <w:sz w:val="22"/>
                            </w:rPr>
                          </w:pPr>
                        </w:p>
                        <w:p w:rsidR="005836B2" w:rsidRDefault="005836B2" w:rsidP="002B70CF">
                          <w:pPr>
                            <w:pStyle w:val="Heading8"/>
                            <w:rPr>
                              <w:b w:val="0"/>
                              <w:sz w:val="22"/>
                            </w:rPr>
                          </w:pPr>
                          <w:r>
                            <w:rPr>
                              <w:color w:val="000080"/>
                              <w:sz w:val="22"/>
                            </w:rPr>
                            <w:t xml:space="preserve">PART </w:t>
                          </w:r>
                          <w:r w:rsidR="0088268A">
                            <w:rPr>
                              <w:color w:val="000080"/>
                              <w:sz w:val="22"/>
                            </w:rPr>
                            <w:t>1 INTRODUCTION</w:t>
                          </w:r>
                          <w:r>
                            <w:rPr>
                              <w:color w:val="000080"/>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pt;margin-top:-2.3pt;width:462.75pt;height:5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MoXgIAAK0EAAAOAAAAZHJzL2Uyb0RvYy54bWysVE2P2yAQvVfqf0DcG+c7WSvOapttqkrb&#10;D2m36hljbKNihgKJvfvrO0CSjdpbVR8QMMybN29mvLkdOkWOwjoJuqCT0ZgSoTlUUjcF/f60f7em&#10;xHmmK6ZAi4I+C0dvt2/fbHqTiym0oCphCYJol/emoK33Js8yx1vRMTcCIzQaa7Ad83i0TVZZ1iN6&#10;p7LpeLzMerCVscCFc3h7n4x0G/HrWnD/ta6d8EQVFLn5uNq4lmHNthuWN5aZVvITDfYPLDomNQa9&#10;QN0zz8jByr+gOsktOKj9iEOXQV1LLmIOmM1k/Ec2jy0zIuaC4jhzkcn9P1j+5fjNElkVdEaJZh2W&#10;6EkMnryHgcyCOr1xOT56NPjMD3iNVY6ZOvMA/KcjGnYt0424sxb6VrAK2U2CZ3blmnBcACn7z1Bh&#10;GHbwEIGG2nZBOhSDIDpW6flSmUCF4+VivVreTBeUcLSt5rPFehFDsPzsbazzHwV0JGwKarHyEZ0d&#10;H5wPbFh+fnKqU7WXShEL/of0bZQ6hI1Ghz5pQwxgPuna2abcKUuODJtpP91PPyxPJBp3/XoyDl8S&#10;KfSxuDgxzoX2s2hShw6FSGCL6JBYxtYPLpFzQEbqzZmRkpqg2oEScZwpgZVLasfeizkFLkqHVUPI&#10;MeGmGxT0pEeoTihIKo0fyiG2QQQLthKqZywX6hOD4YzjpgX7QkmP81JQ9+vArKBEfdIo0c1kPg8D&#10;Fg/zxWqKB3ttKa8tTHOEKqinmE3Y7nwayoOxsmkxUmoyDXfYJrWMFXxldWounImkTprfMHTX5/jq&#10;9S+z/Q0AAP//AwBQSwMEFAAGAAgAAAAhAJ/7S6TfAAAACgEAAA8AAABkcnMvZG93bnJldi54bWxM&#10;j8FqwzAMhu+DvYPRYJfR2iltWbM4ZQxKD2OMZoVd3ViLw2I5xG6Tvf2003qShD5+fSq2k+/EBYfY&#10;BtKQzRUIpDrYlhoNx4/d7BFETIas6QKhhh+MsC1vbwqT2zDSAS9VagSHUMyNBpdSn0sZa4fexHno&#10;kXj3FQZvEo9DI+1gRg73nVwotZbetMQXnOnxxWH9XZ29hodQj58urXbHQ2XeFbr9a/a21/r+bnp+&#10;ApFwSv8w/OmzOpTsdApnslF0GmaZWjPKzZIrA5tsuQFxYjJbrECWhbx+ofwFAAD//wMAUEsBAi0A&#10;FAAGAAgAAAAhALaDOJL+AAAA4QEAABMAAAAAAAAAAAAAAAAAAAAAAFtDb250ZW50X1R5cGVzXS54&#10;bWxQSwECLQAUAAYACAAAACEAOP0h/9YAAACUAQAACwAAAAAAAAAAAAAAAAAvAQAAX3JlbHMvLnJl&#10;bHNQSwECLQAUAAYACAAAACEAkn0zKF4CAACtBAAADgAAAAAAAAAAAAAAAAAuAgAAZHJzL2Uyb0Rv&#10;Yy54bWxQSwECLQAUAAYACAAAACEAn/tLpN8AAAAKAQAADwAAAAAAAAAAAAAAAAC4BAAAZHJzL2Rv&#10;d25yZXYueG1sUEsFBgAAAAAEAAQA8wAAAMQFAAAAAA==&#10;" fillcolor="#f2f2e6" stroked="f">
              <v:fill color2="#525252 [1606]" angle="90" focus="100%" type="gradient"/>
              <v:textbox>
                <w:txbxContent>
                  <w:p w:rsidR="005836B2" w:rsidRDefault="005836B2">
                    <w:pPr>
                      <w:jc w:val="center"/>
                      <w:rPr>
                        <w:rFonts w:ascii="Bookman Old Style" w:hAnsi="Bookman Old Style"/>
                        <w:b/>
                        <w:color w:val="000080"/>
                        <w:sz w:val="22"/>
                      </w:rPr>
                    </w:pPr>
                    <w:r>
                      <w:rPr>
                        <w:rFonts w:ascii="Bookman Old Style" w:hAnsi="Bookman Old Style"/>
                        <w:b/>
                        <w:color w:val="000080"/>
                        <w:sz w:val="22"/>
                      </w:rPr>
                      <w:t xml:space="preserve">DPTI – PREQUALIFICATION SCHEME FOR </w:t>
                    </w:r>
                    <w:r w:rsidR="00322A39">
                      <w:rPr>
                        <w:rFonts w:ascii="Bookman Old Style" w:hAnsi="Bookman Old Style"/>
                        <w:b/>
                        <w:color w:val="000080"/>
                        <w:sz w:val="22"/>
                      </w:rPr>
                      <w:t>PRECAST CONCRETE</w:t>
                    </w:r>
                  </w:p>
                  <w:p w:rsidR="005836B2" w:rsidRDefault="005836B2">
                    <w:pPr>
                      <w:jc w:val="center"/>
                      <w:rPr>
                        <w:rFonts w:ascii="Bookman Old Style" w:hAnsi="Bookman Old Style"/>
                        <w:b/>
                        <w:color w:val="000080"/>
                        <w:sz w:val="22"/>
                      </w:rPr>
                    </w:pPr>
                  </w:p>
                  <w:p w:rsidR="005836B2" w:rsidRDefault="005836B2" w:rsidP="002B70CF">
                    <w:pPr>
                      <w:pStyle w:val="Heading8"/>
                      <w:rPr>
                        <w:b w:val="0"/>
                        <w:sz w:val="22"/>
                      </w:rPr>
                    </w:pPr>
                    <w:r>
                      <w:rPr>
                        <w:color w:val="000080"/>
                        <w:sz w:val="22"/>
                      </w:rPr>
                      <w:t xml:space="preserve">PART </w:t>
                    </w:r>
                    <w:r w:rsidR="0088268A">
                      <w:rPr>
                        <w:color w:val="000080"/>
                        <w:sz w:val="22"/>
                      </w:rPr>
                      <w:t>1 INTRODUCTION</w:t>
                    </w:r>
                    <w:r>
                      <w:rPr>
                        <w:color w:val="000080"/>
                        <w:sz w:val="22"/>
                      </w:rPr>
                      <w:t xml:space="preserve"> </w:t>
                    </w:r>
                  </w:p>
                </w:txbxContent>
              </v:textbox>
            </v:shape>
          </w:pict>
        </mc:Fallback>
      </mc:AlternateContent>
    </w:r>
  </w:p>
  <w:p w:rsidR="005836B2" w:rsidRDefault="00583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2" w:rsidRDefault="005836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2" w:rsidRDefault="004D770B">
    <w:pPr>
      <w:pStyle w:val="Heade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702945</wp:posOffset>
              </wp:positionH>
              <wp:positionV relativeFrom="paragraph">
                <wp:posOffset>2540</wp:posOffset>
              </wp:positionV>
              <wp:extent cx="11639550" cy="643255"/>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0" cy="643255"/>
                      </a:xfrm>
                      <a:prstGeom prst="rect">
                        <a:avLst/>
                      </a:prstGeom>
                      <a:gradFill rotWithShape="0">
                        <a:gsLst>
                          <a:gs pos="0">
                            <a:srgbClr val="F2F2E6"/>
                          </a:gs>
                          <a:gs pos="100000">
                            <a:schemeClr val="accent3">
                              <a:lumMod val="50000"/>
                            </a:schemeClr>
                          </a:gs>
                        </a:gsLst>
                        <a:lin ang="0" scaled="1"/>
                      </a:gradFill>
                      <a:ln>
                        <a:noFill/>
                      </a:ln>
                      <a:extLst/>
                    </wps:spPr>
                    <wps:txbx>
                      <w:txbxContent>
                        <w:p w:rsidR="005836B2" w:rsidRDefault="005836B2" w:rsidP="00E36FC5">
                          <w:pPr>
                            <w:jc w:val="center"/>
                            <w:rPr>
                              <w:rFonts w:ascii="Bookman Old Style" w:hAnsi="Bookman Old Style"/>
                              <w:b/>
                              <w:color w:val="000080"/>
                              <w:sz w:val="22"/>
                            </w:rPr>
                          </w:pPr>
                          <w:r>
                            <w:rPr>
                              <w:rFonts w:ascii="Bookman Old Style" w:hAnsi="Bookman Old Style"/>
                              <w:b/>
                              <w:color w:val="000080"/>
                              <w:sz w:val="22"/>
                            </w:rPr>
                            <w:t xml:space="preserve">DPTI – PREQUALIFICATION SCHEME FOR </w:t>
                          </w:r>
                          <w:r w:rsidR="00FD6E37">
                            <w:rPr>
                              <w:rFonts w:ascii="Bookman Old Style" w:hAnsi="Bookman Old Style"/>
                              <w:b/>
                              <w:color w:val="000080"/>
                              <w:sz w:val="22"/>
                            </w:rPr>
                            <w:t>PRECAST CONCRETE</w:t>
                          </w:r>
                        </w:p>
                        <w:p w:rsidR="005836B2" w:rsidRDefault="005836B2" w:rsidP="00E36FC5">
                          <w:pPr>
                            <w:jc w:val="center"/>
                            <w:rPr>
                              <w:rFonts w:ascii="Bookman Old Style" w:hAnsi="Bookman Old Style"/>
                              <w:b/>
                              <w:color w:val="000080"/>
                              <w:sz w:val="22"/>
                            </w:rPr>
                          </w:pPr>
                        </w:p>
                        <w:p w:rsidR="005836B2" w:rsidRPr="00E36FC5" w:rsidRDefault="0088268A" w:rsidP="00E36FC5">
                          <w:pPr>
                            <w:jc w:val="center"/>
                            <w:rPr>
                              <w:rFonts w:ascii="Bookman Old Style" w:hAnsi="Bookman Old Style"/>
                              <w:b/>
                              <w:color w:val="000080"/>
                              <w:sz w:val="22"/>
                            </w:rPr>
                          </w:pPr>
                          <w:r>
                            <w:rPr>
                              <w:rFonts w:ascii="Bookman Old Style" w:hAnsi="Bookman Old Style"/>
                              <w:b/>
                              <w:color w:val="000080"/>
                              <w:sz w:val="22"/>
                            </w:rPr>
                            <w:t>PART 2</w:t>
                          </w:r>
                          <w:r w:rsidR="005836B2" w:rsidRPr="00E36FC5">
                            <w:rPr>
                              <w:rFonts w:ascii="Bookman Old Style" w:hAnsi="Bookman Old Style"/>
                              <w:b/>
                              <w:color w:val="000080"/>
                              <w:sz w:val="22"/>
                            </w:rPr>
                            <w:t>: INFORMATION TO BE SUBMITTED AND ASSESSMENT CRITERIA</w:t>
                          </w:r>
                        </w:p>
                        <w:p w:rsidR="005836B2" w:rsidRPr="00F001B2" w:rsidRDefault="005836B2" w:rsidP="00A44C96">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5.35pt;margin-top:.2pt;width:916.5pt;height:5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MuXgIAAK4EAAAOAAAAZHJzL2Uyb0RvYy54bWysVE2P2yAQvVfqf0DcG8fOR3etOKtttqkq&#10;bT+k3apngrGNihkKJHb66ztAko3aW1UfEDDMmzdvZry6G3tFDsI6Cbqi+WRKidAcaqnbin573r65&#10;ocR5pmumQIuKHoWjd+vXr1aDKUUBHahaWIIg2pWDqWjnvSmzzPFO9MxNwAiNxgZszzwebZvVlg2I&#10;3qusmE6X2QC2Nha4cA5vH5KRriN+0wjuvzSNE56oiiI3H1cb111Ys/WKla1lppP8RIP9A4ueSY1B&#10;L1APzDOyt/IvqF5yCw4aP+HQZ9A0kouYA2aTT//I5qljRsRcUBxnLjK5/wfLPx++WiLrihaUaNZj&#10;iZ7F6Mk7GMlNUGcwrsRHTwaf+RGvscoxU2cegf9wRMOmY7oV99bC0AlWI7s8eGZXrgnHBZDd8Alq&#10;DMP2HiLQ2Ng+SIdiEETHKh0vlQlUeAiZL2e3iwXaOBqX81mxWMQYrDy7G+v8BwE9CZuKWix9hGeH&#10;R+cDHVaen5wKVW+lUsSC/y59F7UOcaPRoU/aEAOYULp2tt1tlCUHht20LbbF++WJROuuX+fT8CWV&#10;QiOLixPjXGg/iya171GJBLaIDoll7P3gEjkHZKTenhkpqQnKHSgRx5kSWLokd2y+mFPgonRYNYQc&#10;E266QUVPeoTyhIqk2vhxN576AJ8H2w7qI9YL9YnBcMhx04H9RcmAA1NR93PPrKBEfdQo0W0+n4cJ&#10;i4f54m2BB3tt2V1bmOYIVVFPMZuw3fg0lXtjZdthpNRlGu6xTxoZK/jC6tRdOBRJnTTAYequz/HV&#10;y29m/RsAAP//AwBQSwMEFAAGAAgAAAAhAFydAGTeAAAACQEAAA8AAABkcnMvZG93bnJldi54bWxM&#10;j0FLw0AQhe+C/2EZwYvY3Wi1NWZTRCg9iEhjoddtdswGs7Mhu23iv3d60tt8vMeb94rV5DtxwiG2&#10;gTRkMwUCqQ62pUbD7nN9uwQRkyFrukCo4QcjrMrLi8LkNoy0xVOVGsEhFHOjwaXU51LG2qE3cRZ6&#10;JNa+wuBNYhwaaQczcrjv5J1Sj9KblviDMz2+Oqy/q6PXcBPqce/Sw3q3rcyHQrd5y943Wl9fTS/P&#10;IBJO6c8M5/pcHUrudAhHslF0zJlasFXDHMRZfprfMx/4UtkCZFnI/wvKXwAAAP//AwBQSwECLQAU&#10;AAYACAAAACEAtoM4kv4AAADhAQAAEwAAAAAAAAAAAAAAAAAAAAAAW0NvbnRlbnRfVHlwZXNdLnht&#10;bFBLAQItABQABgAIAAAAIQA4/SH/1gAAAJQBAAALAAAAAAAAAAAAAAAAAC8BAABfcmVscy8ucmVs&#10;c1BLAQItABQABgAIAAAAIQDB1CMuXgIAAK4EAAAOAAAAAAAAAAAAAAAAAC4CAABkcnMvZTJvRG9j&#10;LnhtbFBLAQItABQABgAIAAAAIQBcnQBk3gAAAAkBAAAPAAAAAAAAAAAAAAAAALgEAABkcnMvZG93&#10;bnJldi54bWxQSwUGAAAAAAQABADzAAAAwwUAAAAA&#10;" fillcolor="#f2f2e6" stroked="f">
              <v:fill color2="#525252 [1606]" angle="90" focus="100%" type="gradient"/>
              <v:textbox>
                <w:txbxContent>
                  <w:p w:rsidR="005836B2" w:rsidRDefault="005836B2" w:rsidP="00E36FC5">
                    <w:pPr>
                      <w:jc w:val="center"/>
                      <w:rPr>
                        <w:rFonts w:ascii="Bookman Old Style" w:hAnsi="Bookman Old Style"/>
                        <w:b/>
                        <w:color w:val="000080"/>
                        <w:sz w:val="22"/>
                      </w:rPr>
                    </w:pPr>
                    <w:r>
                      <w:rPr>
                        <w:rFonts w:ascii="Bookman Old Style" w:hAnsi="Bookman Old Style"/>
                        <w:b/>
                        <w:color w:val="000080"/>
                        <w:sz w:val="22"/>
                      </w:rPr>
                      <w:t xml:space="preserve">DPTI – PREQUALIFICATION SCHEME FOR </w:t>
                    </w:r>
                    <w:r w:rsidR="00FD6E37">
                      <w:rPr>
                        <w:rFonts w:ascii="Bookman Old Style" w:hAnsi="Bookman Old Style"/>
                        <w:b/>
                        <w:color w:val="000080"/>
                        <w:sz w:val="22"/>
                      </w:rPr>
                      <w:t>PRECAST CONCRETE</w:t>
                    </w:r>
                  </w:p>
                  <w:p w:rsidR="005836B2" w:rsidRDefault="005836B2" w:rsidP="00E36FC5">
                    <w:pPr>
                      <w:jc w:val="center"/>
                      <w:rPr>
                        <w:rFonts w:ascii="Bookman Old Style" w:hAnsi="Bookman Old Style"/>
                        <w:b/>
                        <w:color w:val="000080"/>
                        <w:sz w:val="22"/>
                      </w:rPr>
                    </w:pPr>
                  </w:p>
                  <w:p w:rsidR="005836B2" w:rsidRPr="00E36FC5" w:rsidRDefault="0088268A" w:rsidP="00E36FC5">
                    <w:pPr>
                      <w:jc w:val="center"/>
                      <w:rPr>
                        <w:rFonts w:ascii="Bookman Old Style" w:hAnsi="Bookman Old Style"/>
                        <w:b/>
                        <w:color w:val="000080"/>
                        <w:sz w:val="22"/>
                      </w:rPr>
                    </w:pPr>
                    <w:r>
                      <w:rPr>
                        <w:rFonts w:ascii="Bookman Old Style" w:hAnsi="Bookman Old Style"/>
                        <w:b/>
                        <w:color w:val="000080"/>
                        <w:sz w:val="22"/>
                      </w:rPr>
                      <w:t>PART 2</w:t>
                    </w:r>
                    <w:r w:rsidR="005836B2" w:rsidRPr="00E36FC5">
                      <w:rPr>
                        <w:rFonts w:ascii="Bookman Old Style" w:hAnsi="Bookman Old Style"/>
                        <w:b/>
                        <w:color w:val="000080"/>
                        <w:sz w:val="22"/>
                      </w:rPr>
                      <w:t>: INFORMATION TO BE SUBMITTED AND ASSESSMENT CRITERIA</w:t>
                    </w:r>
                  </w:p>
                  <w:p w:rsidR="005836B2" w:rsidRPr="00F001B2" w:rsidRDefault="005836B2" w:rsidP="00A44C96">
                    <w:pPr>
                      <w:jc w:val="center"/>
                      <w:rPr>
                        <w:rFonts w:ascii="Bookman Old Style" w:hAnsi="Bookman Old Style"/>
                        <w:b/>
                      </w:rPr>
                    </w:pPr>
                  </w:p>
                </w:txbxContent>
              </v:textbox>
            </v:shape>
          </w:pict>
        </mc:Fallback>
      </mc:AlternateContent>
    </w:r>
  </w:p>
  <w:p w:rsidR="005836B2" w:rsidRDefault="005836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2" w:rsidRDefault="004D770B">
    <w:pPr>
      <w:pStyle w:val="Header"/>
    </w:pPr>
    <w:r>
      <w:rPr>
        <w:noProof/>
        <w:lang w:eastAsia="en-AU"/>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233045</wp:posOffset>
              </wp:positionV>
              <wp:extent cx="5833110" cy="723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23900"/>
                      </a:xfrm>
                      <a:prstGeom prst="rect">
                        <a:avLst/>
                      </a:prstGeom>
                      <a:gradFill rotWithShape="0">
                        <a:gsLst>
                          <a:gs pos="0">
                            <a:srgbClr val="F2F2E6"/>
                          </a:gs>
                          <a:gs pos="100000">
                            <a:schemeClr val="accent3">
                              <a:lumMod val="50000"/>
                            </a:schemeClr>
                          </a:gs>
                        </a:gsLst>
                        <a:lin ang="0" scaled="1"/>
                      </a:gradFill>
                      <a:ln>
                        <a:noFill/>
                      </a:ln>
                      <a:extLst/>
                    </wps:spPr>
                    <wps:txbx>
                      <w:txbxContent>
                        <w:p w:rsidR="005836B2" w:rsidRDefault="005836B2" w:rsidP="00FA166F">
                          <w:pPr>
                            <w:jc w:val="center"/>
                            <w:rPr>
                              <w:rFonts w:ascii="Bookman Old Style" w:hAnsi="Bookman Old Style"/>
                              <w:b/>
                              <w:color w:val="000080"/>
                              <w:sz w:val="22"/>
                            </w:rPr>
                          </w:pPr>
                          <w:r>
                            <w:rPr>
                              <w:rFonts w:ascii="Bookman Old Style" w:hAnsi="Bookman Old Style"/>
                              <w:b/>
                              <w:color w:val="000080"/>
                              <w:sz w:val="22"/>
                            </w:rPr>
                            <w:t xml:space="preserve">DPTI – PREQUALIFICATION </w:t>
                          </w:r>
                          <w:r w:rsidR="00322A39">
                            <w:rPr>
                              <w:rFonts w:ascii="Bookman Old Style" w:hAnsi="Bookman Old Style"/>
                              <w:b/>
                              <w:color w:val="000080"/>
                              <w:sz w:val="22"/>
                            </w:rPr>
                            <w:t>FOR PRECAST CONCRETE</w:t>
                          </w:r>
                        </w:p>
                        <w:p w:rsidR="005836B2" w:rsidRPr="00704A41" w:rsidRDefault="005836B2" w:rsidP="002B70CF">
                          <w:pPr>
                            <w:jc w:val="center"/>
                            <w:rPr>
                              <w:rFonts w:ascii="Bookman Old Style" w:hAnsi="Bookman Old Style"/>
                              <w:b/>
                              <w:sz w:val="16"/>
                              <w:szCs w:val="16"/>
                            </w:rPr>
                          </w:pPr>
                        </w:p>
                        <w:p w:rsidR="005836B2" w:rsidRPr="00FA166F" w:rsidRDefault="005836B2" w:rsidP="00FA166F">
                          <w:pPr>
                            <w:jc w:val="center"/>
                            <w:rPr>
                              <w:rFonts w:ascii="Bookman Old Style" w:hAnsi="Bookman Old Style"/>
                              <w:b/>
                              <w:color w:val="000080"/>
                              <w:sz w:val="22"/>
                            </w:rPr>
                          </w:pPr>
                          <w:r>
                            <w:rPr>
                              <w:rFonts w:ascii="Bookman Old Style" w:hAnsi="Bookman Old Style"/>
                              <w:b/>
                              <w:color w:val="000080"/>
                              <w:sz w:val="22"/>
                            </w:rPr>
                            <w:t>PART</w:t>
                          </w:r>
                          <w:r w:rsidR="0088268A">
                            <w:rPr>
                              <w:rFonts w:ascii="Bookman Old Style" w:hAnsi="Bookman Old Style"/>
                              <w:b/>
                              <w:color w:val="000080"/>
                              <w:sz w:val="22"/>
                            </w:rPr>
                            <w:t xml:space="preserve"> 3</w:t>
                          </w:r>
                          <w:r w:rsidRPr="00FA166F">
                            <w:rPr>
                              <w:rFonts w:ascii="Bookman Old Style" w:hAnsi="Bookman Old Style"/>
                              <w:b/>
                              <w:color w:val="000080"/>
                              <w:sz w:val="22"/>
                            </w:rPr>
                            <w:t>: CONDITIONS OF PREQUALIFICATION</w:t>
                          </w:r>
                        </w:p>
                        <w:p w:rsidR="005836B2" w:rsidRDefault="005836B2" w:rsidP="002B70CF">
                          <w:pPr>
                            <w:rPr>
                              <w:rFonts w:ascii="Bookman Old Style" w:hAnsi="Bookman Old Style"/>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05pt;margin-top:18.35pt;width:459.3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vHXwIAAK4EAAAOAAAAZHJzL2Uyb0RvYy54bWysVMtu2zAQvBfoPxC8N7Js5yVEDlKnLgqk&#10;DyApeqYpSiJKcVmStpR+fXdJxzXaW1EfCJHLHc7O7PrmdhoM2ysfNNial2czzpSV0Gjb1fzr0+bN&#10;FWchCtsIA1bV/FkFfrt6/epmdJWaQw+mUZ4hiA3V6Grex+iqogiyV4MIZ+CUxWALfhARt74rGi9G&#10;RB9MMZ/NLooRfOM8SBUCnt7nIF8l/LZVMn5u26AiMzVHbjGtPq1bWovVjag6L1yv5YGG+AcWg9AW&#10;Hz1C3Yso2M7rv6AGLT0EaOOZhKGAttVSpRqwmnL2RzWPvXAq1YLiBHeUKfw/WPlp/8Uz3aB3nFkx&#10;oEVPaorsLUysXJA8owsV3np0eC9OeE5XqdTgHkB+D8zCuhe2U3few9gr0SC9kjKLk9SMEwhkO36E&#10;Bt8RuwgJaGr9QICoBkN0tOn5aA1xkXh4frVYlCWGJMYu54vrWfKuENVLtvMhvlcwMPqouUfrE7rY&#10;P4RIbET1cuVgVLPRxjAP8ZuOfdKank3BgDn5gznAevJx8N12bTzbC+ymzXwzf3eR6kTbw+ntcka/&#10;LBI1sjomCSmVjYsUMrsBhchg5ykhs0y9TymJMyEj9e6FkdGWodpEiQUpjErW5Uzs41QTcTGWVgtU&#10;Y47mExT0oAe5Q4Zka+K0nVIfHE3fQvOMdqE+6TEccvzowf/kbMSBqXn4sRNecWY+WJToulwuacLS&#10;Znl+OceNP41sTyPCSoSqeeRYDX2uY57KnfO66/Gl3GQW7rBNWp0cJMaZ1aG5cCiyOnmAaepO9+nW&#10;77+Z1S8AAAD//wMAUEsDBBQABgAIAAAAIQBB6pGJ3QAAAAgBAAAPAAAAZHJzL2Rvd25yZXYueG1s&#10;TI9BS8NAEIXvgv9hGcGL2N1EWjVmU0QoPYhIY8HrNDtmg9ndkN028d87nuztDe/jzXvlena9ONEY&#10;u+A1ZAsFgnwTTOdbDfuPze0DiJjQG+yDJw0/FGFdXV6UWJgw+R2d6tQKDvGxQA02paGQMjaWHMZF&#10;GMiz9xVGh4nPsZVmxInDXS9zpVbSYef5g8WBXiw13/XRabgJzfRp03Kz39X4rshuX7O3rdbXV/Pz&#10;E4hEc/qH4a8+V4eKOx3C0Zsoeg15xqCGu9U9CLYfc8XiwNyShaxKeT6g+gUAAP//AwBQSwECLQAU&#10;AAYACAAAACEAtoM4kv4AAADhAQAAEwAAAAAAAAAAAAAAAAAAAAAAW0NvbnRlbnRfVHlwZXNdLnht&#10;bFBLAQItABQABgAIAAAAIQA4/SH/1gAAAJQBAAALAAAAAAAAAAAAAAAAAC8BAABfcmVscy8ucmVs&#10;c1BLAQItABQABgAIAAAAIQArhwvHXwIAAK4EAAAOAAAAAAAAAAAAAAAAAC4CAABkcnMvZTJvRG9j&#10;LnhtbFBLAQItABQABgAIAAAAIQBB6pGJ3QAAAAgBAAAPAAAAAAAAAAAAAAAAALkEAABkcnMvZG93&#10;bnJldi54bWxQSwUGAAAAAAQABADzAAAAwwUAAAAA&#10;" o:allowincell="f" fillcolor="#f2f2e6" stroked="f">
              <v:fill color2="#525252 [1606]" angle="90" focus="100%" type="gradient"/>
              <v:textbox>
                <w:txbxContent>
                  <w:p w:rsidR="005836B2" w:rsidRDefault="005836B2" w:rsidP="00FA166F">
                    <w:pPr>
                      <w:jc w:val="center"/>
                      <w:rPr>
                        <w:rFonts w:ascii="Bookman Old Style" w:hAnsi="Bookman Old Style"/>
                        <w:b/>
                        <w:color w:val="000080"/>
                        <w:sz w:val="22"/>
                      </w:rPr>
                    </w:pPr>
                    <w:r>
                      <w:rPr>
                        <w:rFonts w:ascii="Bookman Old Style" w:hAnsi="Bookman Old Style"/>
                        <w:b/>
                        <w:color w:val="000080"/>
                        <w:sz w:val="22"/>
                      </w:rPr>
                      <w:t xml:space="preserve">DPTI – PREQUALIFICATION </w:t>
                    </w:r>
                    <w:r w:rsidR="00322A39">
                      <w:rPr>
                        <w:rFonts w:ascii="Bookman Old Style" w:hAnsi="Bookman Old Style"/>
                        <w:b/>
                        <w:color w:val="000080"/>
                        <w:sz w:val="22"/>
                      </w:rPr>
                      <w:t>FOR PRECAST CONCRETE</w:t>
                    </w:r>
                  </w:p>
                  <w:p w:rsidR="005836B2" w:rsidRPr="00704A41" w:rsidRDefault="005836B2" w:rsidP="002B70CF">
                    <w:pPr>
                      <w:jc w:val="center"/>
                      <w:rPr>
                        <w:rFonts w:ascii="Bookman Old Style" w:hAnsi="Bookman Old Style"/>
                        <w:b/>
                        <w:sz w:val="16"/>
                        <w:szCs w:val="16"/>
                      </w:rPr>
                    </w:pPr>
                  </w:p>
                  <w:p w:rsidR="005836B2" w:rsidRPr="00FA166F" w:rsidRDefault="005836B2" w:rsidP="00FA166F">
                    <w:pPr>
                      <w:jc w:val="center"/>
                      <w:rPr>
                        <w:rFonts w:ascii="Bookman Old Style" w:hAnsi="Bookman Old Style"/>
                        <w:b/>
                        <w:color w:val="000080"/>
                        <w:sz w:val="22"/>
                      </w:rPr>
                    </w:pPr>
                    <w:r>
                      <w:rPr>
                        <w:rFonts w:ascii="Bookman Old Style" w:hAnsi="Bookman Old Style"/>
                        <w:b/>
                        <w:color w:val="000080"/>
                        <w:sz w:val="22"/>
                      </w:rPr>
                      <w:t>PART</w:t>
                    </w:r>
                    <w:r w:rsidR="0088268A">
                      <w:rPr>
                        <w:rFonts w:ascii="Bookman Old Style" w:hAnsi="Bookman Old Style"/>
                        <w:b/>
                        <w:color w:val="000080"/>
                        <w:sz w:val="22"/>
                      </w:rPr>
                      <w:t xml:space="preserve"> 3</w:t>
                    </w:r>
                    <w:r w:rsidRPr="00FA166F">
                      <w:rPr>
                        <w:rFonts w:ascii="Bookman Old Style" w:hAnsi="Bookman Old Style"/>
                        <w:b/>
                        <w:color w:val="000080"/>
                        <w:sz w:val="22"/>
                      </w:rPr>
                      <w:t>: CONDITIONS OF PREQUALIFICATION</w:t>
                    </w:r>
                  </w:p>
                  <w:p w:rsidR="005836B2" w:rsidRDefault="005836B2" w:rsidP="002B70CF">
                    <w:pPr>
                      <w:rPr>
                        <w:rFonts w:ascii="Bookman Old Style" w:hAnsi="Bookman Old Style"/>
                        <w:b/>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1F2"/>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7B53"/>
    <w:multiLevelType w:val="multilevel"/>
    <w:tmpl w:val="298E880C"/>
    <w:lvl w:ilvl="0">
      <w:start w:val="1"/>
      <w:numFmt w:val="decimal"/>
      <w:lvlText w:val="%1."/>
      <w:legacy w:legacy="1" w:legacySpace="0" w:legacyIndent="284"/>
      <w:lvlJc w:val="left"/>
      <w:pPr>
        <w:ind w:left="284" w:hanging="284"/>
      </w:p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266"/>
        </w:tabs>
        <w:ind w:left="1134" w:hanging="283"/>
      </w:pPr>
      <w:rPr>
        <w:rFonts w:hint="default"/>
      </w:rPr>
    </w:lvl>
    <w:lvl w:ilvl="3">
      <w:start w:val="1"/>
      <w:numFmt w:val="none"/>
      <w:lvlText w:val=""/>
      <w:legacy w:legacy="1" w:legacySpace="0" w:legacyIndent="567"/>
      <w:lvlJc w:val="left"/>
      <w:pPr>
        <w:ind w:left="1531" w:hanging="567"/>
      </w:pPr>
      <w:rPr>
        <w:rFonts w:ascii="Symbol" w:hAnsi="Symbol" w:hint="default"/>
      </w:rPr>
    </w:lvl>
    <w:lvl w:ilvl="4">
      <w:start w:val="1"/>
      <w:numFmt w:val="decimal"/>
      <w:lvlText w:val="(%5)"/>
      <w:legacy w:legacy="1" w:legacySpace="0" w:legacyIndent="567"/>
      <w:lvlJc w:val="left"/>
      <w:pPr>
        <w:ind w:left="2098" w:hanging="567"/>
      </w:pPr>
    </w:lvl>
    <w:lvl w:ilvl="5">
      <w:start w:val="1"/>
      <w:numFmt w:val="lowerLetter"/>
      <w:lvlText w:val="(%6)"/>
      <w:legacy w:legacy="1" w:legacySpace="0" w:legacyIndent="708"/>
      <w:lvlJc w:val="left"/>
      <w:pPr>
        <w:ind w:left="2806" w:hanging="708"/>
      </w:pPr>
    </w:lvl>
    <w:lvl w:ilvl="6">
      <w:start w:val="1"/>
      <w:numFmt w:val="lowerRoman"/>
      <w:lvlText w:val="(%7)"/>
      <w:legacy w:legacy="1" w:legacySpace="0" w:legacyIndent="708"/>
      <w:lvlJc w:val="left"/>
      <w:pPr>
        <w:ind w:left="3514" w:hanging="708"/>
      </w:pPr>
    </w:lvl>
    <w:lvl w:ilvl="7">
      <w:start w:val="1"/>
      <w:numFmt w:val="lowerLetter"/>
      <w:lvlText w:val="(%8)"/>
      <w:legacy w:legacy="1" w:legacySpace="0" w:legacyIndent="708"/>
      <w:lvlJc w:val="left"/>
      <w:pPr>
        <w:ind w:left="4222" w:hanging="708"/>
      </w:pPr>
    </w:lvl>
    <w:lvl w:ilvl="8">
      <w:start w:val="1"/>
      <w:numFmt w:val="lowerRoman"/>
      <w:lvlText w:val="(%9)"/>
      <w:legacy w:legacy="1" w:legacySpace="0" w:legacyIndent="708"/>
      <w:lvlJc w:val="left"/>
      <w:pPr>
        <w:ind w:left="4930" w:hanging="708"/>
      </w:pPr>
    </w:lvl>
  </w:abstractNum>
  <w:abstractNum w:abstractNumId="2" w15:restartNumberingAfterBreak="0">
    <w:nsid w:val="0C327965"/>
    <w:multiLevelType w:val="multilevel"/>
    <w:tmpl w:val="298E880C"/>
    <w:lvl w:ilvl="0">
      <w:start w:val="1"/>
      <w:numFmt w:val="decimal"/>
      <w:lvlText w:val="%1."/>
      <w:legacy w:legacy="1" w:legacySpace="0" w:legacyIndent="284"/>
      <w:lvlJc w:val="left"/>
      <w:pPr>
        <w:ind w:left="284" w:hanging="284"/>
      </w:p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266"/>
        </w:tabs>
        <w:ind w:left="1134" w:hanging="283"/>
      </w:pPr>
      <w:rPr>
        <w:rFonts w:hint="default"/>
      </w:rPr>
    </w:lvl>
    <w:lvl w:ilvl="3">
      <w:start w:val="1"/>
      <w:numFmt w:val="none"/>
      <w:lvlText w:val=""/>
      <w:legacy w:legacy="1" w:legacySpace="0" w:legacyIndent="567"/>
      <w:lvlJc w:val="left"/>
      <w:pPr>
        <w:ind w:left="1531" w:hanging="567"/>
      </w:pPr>
      <w:rPr>
        <w:rFonts w:ascii="Symbol" w:hAnsi="Symbol" w:hint="default"/>
      </w:rPr>
    </w:lvl>
    <w:lvl w:ilvl="4">
      <w:start w:val="1"/>
      <w:numFmt w:val="decimal"/>
      <w:lvlText w:val="(%5)"/>
      <w:legacy w:legacy="1" w:legacySpace="0" w:legacyIndent="567"/>
      <w:lvlJc w:val="left"/>
      <w:pPr>
        <w:ind w:left="2098" w:hanging="567"/>
      </w:pPr>
    </w:lvl>
    <w:lvl w:ilvl="5">
      <w:start w:val="1"/>
      <w:numFmt w:val="lowerLetter"/>
      <w:lvlText w:val="(%6)"/>
      <w:legacy w:legacy="1" w:legacySpace="0" w:legacyIndent="708"/>
      <w:lvlJc w:val="left"/>
      <w:pPr>
        <w:ind w:left="2806" w:hanging="708"/>
      </w:pPr>
    </w:lvl>
    <w:lvl w:ilvl="6">
      <w:start w:val="1"/>
      <w:numFmt w:val="lowerRoman"/>
      <w:lvlText w:val="(%7)"/>
      <w:legacy w:legacy="1" w:legacySpace="0" w:legacyIndent="708"/>
      <w:lvlJc w:val="left"/>
      <w:pPr>
        <w:ind w:left="3514" w:hanging="708"/>
      </w:pPr>
    </w:lvl>
    <w:lvl w:ilvl="7">
      <w:start w:val="1"/>
      <w:numFmt w:val="lowerLetter"/>
      <w:lvlText w:val="(%8)"/>
      <w:legacy w:legacy="1" w:legacySpace="0" w:legacyIndent="708"/>
      <w:lvlJc w:val="left"/>
      <w:pPr>
        <w:ind w:left="4222" w:hanging="708"/>
      </w:pPr>
    </w:lvl>
    <w:lvl w:ilvl="8">
      <w:start w:val="1"/>
      <w:numFmt w:val="lowerRoman"/>
      <w:lvlText w:val="(%9)"/>
      <w:legacy w:legacy="1" w:legacySpace="0" w:legacyIndent="708"/>
      <w:lvlJc w:val="left"/>
      <w:pPr>
        <w:ind w:left="4930" w:hanging="708"/>
      </w:pPr>
    </w:lvl>
  </w:abstractNum>
  <w:abstractNum w:abstractNumId="3" w15:restartNumberingAfterBreak="0">
    <w:nsid w:val="191C78F2"/>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15E71"/>
    <w:multiLevelType w:val="hybridMultilevel"/>
    <w:tmpl w:val="A010F020"/>
    <w:lvl w:ilvl="0" w:tplc="0C090001">
      <w:start w:val="1"/>
      <w:numFmt w:val="bullet"/>
      <w:lvlText w:val=""/>
      <w:lvlJc w:val="left"/>
      <w:pPr>
        <w:tabs>
          <w:tab w:val="num" w:pos="2836"/>
        </w:tabs>
        <w:ind w:left="283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6" w15:restartNumberingAfterBreak="0">
    <w:nsid w:val="32D55EFA"/>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92D0A"/>
    <w:multiLevelType w:val="hybridMultilevel"/>
    <w:tmpl w:val="0CD47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117A87"/>
    <w:multiLevelType w:val="multilevel"/>
    <w:tmpl w:val="298E880C"/>
    <w:lvl w:ilvl="0">
      <w:start w:val="1"/>
      <w:numFmt w:val="decimal"/>
      <w:lvlText w:val="%1."/>
      <w:legacy w:legacy="1" w:legacySpace="0" w:legacyIndent="284"/>
      <w:lvlJc w:val="left"/>
      <w:pPr>
        <w:ind w:left="284" w:hanging="284"/>
      </w:p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266"/>
        </w:tabs>
        <w:ind w:left="1134" w:hanging="283"/>
      </w:pPr>
      <w:rPr>
        <w:rFonts w:hint="default"/>
      </w:rPr>
    </w:lvl>
    <w:lvl w:ilvl="3">
      <w:start w:val="1"/>
      <w:numFmt w:val="none"/>
      <w:lvlText w:val=""/>
      <w:legacy w:legacy="1" w:legacySpace="0" w:legacyIndent="567"/>
      <w:lvlJc w:val="left"/>
      <w:pPr>
        <w:ind w:left="1531" w:hanging="567"/>
      </w:pPr>
      <w:rPr>
        <w:rFonts w:ascii="Symbol" w:hAnsi="Symbol" w:hint="default"/>
      </w:rPr>
    </w:lvl>
    <w:lvl w:ilvl="4">
      <w:start w:val="1"/>
      <w:numFmt w:val="decimal"/>
      <w:lvlText w:val="(%5)"/>
      <w:legacy w:legacy="1" w:legacySpace="0" w:legacyIndent="567"/>
      <w:lvlJc w:val="left"/>
      <w:pPr>
        <w:ind w:left="2098" w:hanging="567"/>
      </w:pPr>
    </w:lvl>
    <w:lvl w:ilvl="5">
      <w:start w:val="1"/>
      <w:numFmt w:val="lowerLetter"/>
      <w:lvlText w:val="(%6)"/>
      <w:legacy w:legacy="1" w:legacySpace="0" w:legacyIndent="708"/>
      <w:lvlJc w:val="left"/>
      <w:pPr>
        <w:ind w:left="2806" w:hanging="708"/>
      </w:pPr>
    </w:lvl>
    <w:lvl w:ilvl="6">
      <w:start w:val="1"/>
      <w:numFmt w:val="lowerRoman"/>
      <w:lvlText w:val="(%7)"/>
      <w:legacy w:legacy="1" w:legacySpace="0" w:legacyIndent="708"/>
      <w:lvlJc w:val="left"/>
      <w:pPr>
        <w:ind w:left="3514" w:hanging="708"/>
      </w:pPr>
    </w:lvl>
    <w:lvl w:ilvl="7">
      <w:start w:val="1"/>
      <w:numFmt w:val="lowerLetter"/>
      <w:lvlText w:val="(%8)"/>
      <w:legacy w:legacy="1" w:legacySpace="0" w:legacyIndent="708"/>
      <w:lvlJc w:val="left"/>
      <w:pPr>
        <w:ind w:left="4222" w:hanging="708"/>
      </w:pPr>
    </w:lvl>
    <w:lvl w:ilvl="8">
      <w:start w:val="1"/>
      <w:numFmt w:val="lowerRoman"/>
      <w:lvlText w:val="(%9)"/>
      <w:legacy w:legacy="1" w:legacySpace="0" w:legacyIndent="708"/>
      <w:lvlJc w:val="left"/>
      <w:pPr>
        <w:ind w:left="4930" w:hanging="708"/>
      </w:pPr>
    </w:lvl>
  </w:abstractNum>
  <w:abstractNum w:abstractNumId="9" w15:restartNumberingAfterBreak="0">
    <w:nsid w:val="39342DD6"/>
    <w:multiLevelType w:val="multilevel"/>
    <w:tmpl w:val="298E880C"/>
    <w:lvl w:ilvl="0">
      <w:start w:val="1"/>
      <w:numFmt w:val="decimal"/>
      <w:lvlText w:val="%1."/>
      <w:legacy w:legacy="1" w:legacySpace="0" w:legacyIndent="284"/>
      <w:lvlJc w:val="left"/>
      <w:pPr>
        <w:ind w:left="284" w:hanging="284"/>
      </w:p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266"/>
        </w:tabs>
        <w:ind w:left="1134" w:hanging="283"/>
      </w:pPr>
      <w:rPr>
        <w:rFonts w:hint="default"/>
      </w:rPr>
    </w:lvl>
    <w:lvl w:ilvl="3">
      <w:start w:val="1"/>
      <w:numFmt w:val="none"/>
      <w:lvlText w:val=""/>
      <w:legacy w:legacy="1" w:legacySpace="0" w:legacyIndent="567"/>
      <w:lvlJc w:val="left"/>
      <w:pPr>
        <w:ind w:left="1531" w:hanging="567"/>
      </w:pPr>
      <w:rPr>
        <w:rFonts w:ascii="Symbol" w:hAnsi="Symbol" w:hint="default"/>
      </w:rPr>
    </w:lvl>
    <w:lvl w:ilvl="4">
      <w:start w:val="1"/>
      <w:numFmt w:val="decimal"/>
      <w:lvlText w:val="(%5)"/>
      <w:legacy w:legacy="1" w:legacySpace="0" w:legacyIndent="567"/>
      <w:lvlJc w:val="left"/>
      <w:pPr>
        <w:ind w:left="2098" w:hanging="567"/>
      </w:pPr>
    </w:lvl>
    <w:lvl w:ilvl="5">
      <w:start w:val="1"/>
      <w:numFmt w:val="lowerLetter"/>
      <w:lvlText w:val="(%6)"/>
      <w:legacy w:legacy="1" w:legacySpace="0" w:legacyIndent="708"/>
      <w:lvlJc w:val="left"/>
      <w:pPr>
        <w:ind w:left="2806" w:hanging="708"/>
      </w:pPr>
    </w:lvl>
    <w:lvl w:ilvl="6">
      <w:start w:val="1"/>
      <w:numFmt w:val="lowerRoman"/>
      <w:lvlText w:val="(%7)"/>
      <w:legacy w:legacy="1" w:legacySpace="0" w:legacyIndent="708"/>
      <w:lvlJc w:val="left"/>
      <w:pPr>
        <w:ind w:left="3514" w:hanging="708"/>
      </w:pPr>
    </w:lvl>
    <w:lvl w:ilvl="7">
      <w:start w:val="1"/>
      <w:numFmt w:val="lowerLetter"/>
      <w:lvlText w:val="(%8)"/>
      <w:legacy w:legacy="1" w:legacySpace="0" w:legacyIndent="708"/>
      <w:lvlJc w:val="left"/>
      <w:pPr>
        <w:ind w:left="4222" w:hanging="708"/>
      </w:pPr>
    </w:lvl>
    <w:lvl w:ilvl="8">
      <w:start w:val="1"/>
      <w:numFmt w:val="lowerRoman"/>
      <w:lvlText w:val="(%9)"/>
      <w:legacy w:legacy="1" w:legacySpace="0" w:legacyIndent="708"/>
      <w:lvlJc w:val="left"/>
      <w:pPr>
        <w:ind w:left="4930" w:hanging="708"/>
      </w:pPr>
    </w:lvl>
  </w:abstractNum>
  <w:abstractNum w:abstractNumId="10" w15:restartNumberingAfterBreak="0">
    <w:nsid w:val="3BF55F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F1243A"/>
    <w:multiLevelType w:val="hybridMultilevel"/>
    <w:tmpl w:val="DEC82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190F8E"/>
    <w:multiLevelType w:val="multilevel"/>
    <w:tmpl w:val="C41841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284"/>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476401C6"/>
    <w:multiLevelType w:val="hybridMultilevel"/>
    <w:tmpl w:val="493AC3B2"/>
    <w:lvl w:ilvl="0" w:tplc="040CB2C6">
      <w:start w:val="1"/>
      <w:numFmt w:val="bullet"/>
      <w:lvlText w:val=""/>
      <w:lvlJc w:val="left"/>
      <w:pPr>
        <w:tabs>
          <w:tab w:val="num" w:pos="720"/>
        </w:tabs>
        <w:ind w:left="72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74567"/>
    <w:multiLevelType w:val="hybridMultilevel"/>
    <w:tmpl w:val="1E8E8D0E"/>
    <w:lvl w:ilvl="0" w:tplc="EC725AEC">
      <w:start w:val="1"/>
      <w:numFmt w:val="bullet"/>
      <w:lvlText w:val=""/>
      <w:lvlJc w:val="left"/>
      <w:pPr>
        <w:tabs>
          <w:tab w:val="num" w:pos="567"/>
        </w:tabs>
        <w:ind w:left="567" w:hanging="567"/>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F22C1"/>
    <w:multiLevelType w:val="hybridMultilevel"/>
    <w:tmpl w:val="FF54F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E45DC"/>
    <w:multiLevelType w:val="hybridMultilevel"/>
    <w:tmpl w:val="E7F41CCE"/>
    <w:lvl w:ilvl="0" w:tplc="80D6392E">
      <w:start w:val="7"/>
      <w:numFmt w:val="decimal"/>
      <w:lvlText w:val="%1."/>
      <w:lvlJc w:val="left"/>
      <w:pPr>
        <w:tabs>
          <w:tab w:val="num" w:pos="705"/>
        </w:tabs>
        <w:ind w:left="705" w:hanging="70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55206FFD"/>
    <w:multiLevelType w:val="hybridMultilevel"/>
    <w:tmpl w:val="5CF80168"/>
    <w:lvl w:ilvl="0" w:tplc="F5569108">
      <w:start w:val="1"/>
      <w:numFmt w:val="bullet"/>
      <w:pStyle w:val="TableFigureLevel1Bullet"/>
      <w:lvlText w:val=""/>
      <w:lvlJc w:val="left"/>
      <w:pPr>
        <w:tabs>
          <w:tab w:val="num" w:pos="284"/>
        </w:tabs>
        <w:ind w:left="284" w:hanging="284"/>
      </w:pPr>
      <w:rPr>
        <w:rFonts w:ascii="Symbol" w:hAnsi="Symbol" w:cs="Symbol" w:hint="default"/>
        <w:sz w:val="18"/>
        <w:szCs w:val="20"/>
      </w:rPr>
    </w:lvl>
    <w:lvl w:ilvl="1" w:tplc="81E46D24" w:tentative="1">
      <w:start w:val="1"/>
      <w:numFmt w:val="bullet"/>
      <w:lvlText w:val="o"/>
      <w:lvlJc w:val="left"/>
      <w:pPr>
        <w:tabs>
          <w:tab w:val="num" w:pos="1440"/>
        </w:tabs>
        <w:ind w:left="1440" w:hanging="360"/>
      </w:pPr>
      <w:rPr>
        <w:rFonts w:ascii="Courier New" w:hAnsi="Courier New" w:cs="Courier New" w:hint="default"/>
      </w:rPr>
    </w:lvl>
    <w:lvl w:ilvl="2" w:tplc="5CF44FF6" w:tentative="1">
      <w:start w:val="1"/>
      <w:numFmt w:val="bullet"/>
      <w:lvlText w:val=""/>
      <w:lvlJc w:val="left"/>
      <w:pPr>
        <w:tabs>
          <w:tab w:val="num" w:pos="2160"/>
        </w:tabs>
        <w:ind w:left="2160" w:hanging="360"/>
      </w:pPr>
      <w:rPr>
        <w:rFonts w:ascii="Wingdings" w:hAnsi="Wingdings" w:hint="default"/>
      </w:rPr>
    </w:lvl>
    <w:lvl w:ilvl="3" w:tplc="121C0A58" w:tentative="1">
      <w:start w:val="1"/>
      <w:numFmt w:val="bullet"/>
      <w:lvlText w:val=""/>
      <w:lvlJc w:val="left"/>
      <w:pPr>
        <w:tabs>
          <w:tab w:val="num" w:pos="2880"/>
        </w:tabs>
        <w:ind w:left="2880" w:hanging="360"/>
      </w:pPr>
      <w:rPr>
        <w:rFonts w:ascii="Symbol" w:hAnsi="Symbol" w:hint="default"/>
      </w:rPr>
    </w:lvl>
    <w:lvl w:ilvl="4" w:tplc="406E3948" w:tentative="1">
      <w:start w:val="1"/>
      <w:numFmt w:val="bullet"/>
      <w:lvlText w:val="o"/>
      <w:lvlJc w:val="left"/>
      <w:pPr>
        <w:tabs>
          <w:tab w:val="num" w:pos="3600"/>
        </w:tabs>
        <w:ind w:left="3600" w:hanging="360"/>
      </w:pPr>
      <w:rPr>
        <w:rFonts w:ascii="Courier New" w:hAnsi="Courier New" w:cs="Courier New" w:hint="default"/>
      </w:rPr>
    </w:lvl>
    <w:lvl w:ilvl="5" w:tplc="0FD249D6" w:tentative="1">
      <w:start w:val="1"/>
      <w:numFmt w:val="bullet"/>
      <w:lvlText w:val=""/>
      <w:lvlJc w:val="left"/>
      <w:pPr>
        <w:tabs>
          <w:tab w:val="num" w:pos="4320"/>
        </w:tabs>
        <w:ind w:left="4320" w:hanging="360"/>
      </w:pPr>
      <w:rPr>
        <w:rFonts w:ascii="Wingdings" w:hAnsi="Wingdings" w:hint="default"/>
      </w:rPr>
    </w:lvl>
    <w:lvl w:ilvl="6" w:tplc="2A1270AC" w:tentative="1">
      <w:start w:val="1"/>
      <w:numFmt w:val="bullet"/>
      <w:lvlText w:val=""/>
      <w:lvlJc w:val="left"/>
      <w:pPr>
        <w:tabs>
          <w:tab w:val="num" w:pos="5040"/>
        </w:tabs>
        <w:ind w:left="5040" w:hanging="360"/>
      </w:pPr>
      <w:rPr>
        <w:rFonts w:ascii="Symbol" w:hAnsi="Symbol" w:hint="default"/>
      </w:rPr>
    </w:lvl>
    <w:lvl w:ilvl="7" w:tplc="E4FE725C" w:tentative="1">
      <w:start w:val="1"/>
      <w:numFmt w:val="bullet"/>
      <w:lvlText w:val="o"/>
      <w:lvlJc w:val="left"/>
      <w:pPr>
        <w:tabs>
          <w:tab w:val="num" w:pos="5760"/>
        </w:tabs>
        <w:ind w:left="5760" w:hanging="360"/>
      </w:pPr>
      <w:rPr>
        <w:rFonts w:ascii="Courier New" w:hAnsi="Courier New" w:cs="Courier New" w:hint="default"/>
      </w:rPr>
    </w:lvl>
    <w:lvl w:ilvl="8" w:tplc="9F060F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D7510"/>
    <w:multiLevelType w:val="hybridMultilevel"/>
    <w:tmpl w:val="4C26AE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6358AE"/>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F3005"/>
    <w:multiLevelType w:val="multilevel"/>
    <w:tmpl w:val="298E880C"/>
    <w:lvl w:ilvl="0">
      <w:start w:val="1"/>
      <w:numFmt w:val="decimal"/>
      <w:lvlText w:val="%1."/>
      <w:legacy w:legacy="1" w:legacySpace="0" w:legacyIndent="284"/>
      <w:lvlJc w:val="left"/>
      <w:pPr>
        <w:ind w:left="284" w:hanging="284"/>
      </w:p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266"/>
        </w:tabs>
        <w:ind w:left="1134" w:hanging="283"/>
      </w:pPr>
      <w:rPr>
        <w:rFonts w:hint="default"/>
      </w:rPr>
    </w:lvl>
    <w:lvl w:ilvl="3">
      <w:start w:val="1"/>
      <w:numFmt w:val="none"/>
      <w:lvlText w:val=""/>
      <w:legacy w:legacy="1" w:legacySpace="0" w:legacyIndent="567"/>
      <w:lvlJc w:val="left"/>
      <w:pPr>
        <w:ind w:left="1531" w:hanging="567"/>
      </w:pPr>
      <w:rPr>
        <w:rFonts w:ascii="Symbol" w:hAnsi="Symbol" w:hint="default"/>
      </w:rPr>
    </w:lvl>
    <w:lvl w:ilvl="4">
      <w:start w:val="1"/>
      <w:numFmt w:val="decimal"/>
      <w:lvlText w:val="(%5)"/>
      <w:legacy w:legacy="1" w:legacySpace="0" w:legacyIndent="567"/>
      <w:lvlJc w:val="left"/>
      <w:pPr>
        <w:ind w:left="2098" w:hanging="567"/>
      </w:pPr>
    </w:lvl>
    <w:lvl w:ilvl="5">
      <w:start w:val="1"/>
      <w:numFmt w:val="lowerLetter"/>
      <w:lvlText w:val="(%6)"/>
      <w:legacy w:legacy="1" w:legacySpace="0" w:legacyIndent="708"/>
      <w:lvlJc w:val="left"/>
      <w:pPr>
        <w:ind w:left="2806" w:hanging="708"/>
      </w:pPr>
    </w:lvl>
    <w:lvl w:ilvl="6">
      <w:start w:val="1"/>
      <w:numFmt w:val="lowerRoman"/>
      <w:lvlText w:val="(%7)"/>
      <w:legacy w:legacy="1" w:legacySpace="0" w:legacyIndent="708"/>
      <w:lvlJc w:val="left"/>
      <w:pPr>
        <w:ind w:left="3514" w:hanging="708"/>
      </w:pPr>
    </w:lvl>
    <w:lvl w:ilvl="7">
      <w:start w:val="1"/>
      <w:numFmt w:val="lowerLetter"/>
      <w:lvlText w:val="(%8)"/>
      <w:legacy w:legacy="1" w:legacySpace="0" w:legacyIndent="708"/>
      <w:lvlJc w:val="left"/>
      <w:pPr>
        <w:ind w:left="4222" w:hanging="708"/>
      </w:pPr>
    </w:lvl>
    <w:lvl w:ilvl="8">
      <w:start w:val="1"/>
      <w:numFmt w:val="lowerRoman"/>
      <w:lvlText w:val="(%9)"/>
      <w:legacy w:legacy="1" w:legacySpace="0" w:legacyIndent="708"/>
      <w:lvlJc w:val="left"/>
      <w:pPr>
        <w:ind w:left="4930" w:hanging="708"/>
      </w:pPr>
    </w:lvl>
  </w:abstractNum>
  <w:abstractNum w:abstractNumId="21" w15:restartNumberingAfterBreak="0">
    <w:nsid w:val="5E3866F6"/>
    <w:multiLevelType w:val="hybridMultilevel"/>
    <w:tmpl w:val="5D2E0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B717DA"/>
    <w:multiLevelType w:val="hybridMultilevel"/>
    <w:tmpl w:val="9828DF0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67950BE2"/>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92B14"/>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05E56"/>
    <w:multiLevelType w:val="multilevel"/>
    <w:tmpl w:val="298E880C"/>
    <w:lvl w:ilvl="0">
      <w:start w:val="1"/>
      <w:numFmt w:val="decimal"/>
      <w:lvlText w:val="%1."/>
      <w:legacy w:legacy="1" w:legacySpace="0" w:legacyIndent="284"/>
      <w:lvlJc w:val="left"/>
      <w:pPr>
        <w:ind w:left="284" w:hanging="284"/>
      </w:p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266"/>
        </w:tabs>
        <w:ind w:left="1134" w:hanging="283"/>
      </w:pPr>
      <w:rPr>
        <w:rFonts w:hint="default"/>
      </w:rPr>
    </w:lvl>
    <w:lvl w:ilvl="3">
      <w:start w:val="1"/>
      <w:numFmt w:val="none"/>
      <w:lvlText w:val=""/>
      <w:legacy w:legacy="1" w:legacySpace="0" w:legacyIndent="567"/>
      <w:lvlJc w:val="left"/>
      <w:pPr>
        <w:ind w:left="1531" w:hanging="567"/>
      </w:pPr>
      <w:rPr>
        <w:rFonts w:ascii="Symbol" w:hAnsi="Symbol" w:hint="default"/>
      </w:rPr>
    </w:lvl>
    <w:lvl w:ilvl="4">
      <w:start w:val="1"/>
      <w:numFmt w:val="decimal"/>
      <w:lvlText w:val="(%5)"/>
      <w:legacy w:legacy="1" w:legacySpace="0" w:legacyIndent="567"/>
      <w:lvlJc w:val="left"/>
      <w:pPr>
        <w:ind w:left="2098" w:hanging="567"/>
      </w:pPr>
    </w:lvl>
    <w:lvl w:ilvl="5">
      <w:start w:val="1"/>
      <w:numFmt w:val="lowerLetter"/>
      <w:lvlText w:val="(%6)"/>
      <w:legacy w:legacy="1" w:legacySpace="0" w:legacyIndent="708"/>
      <w:lvlJc w:val="left"/>
      <w:pPr>
        <w:ind w:left="2806" w:hanging="708"/>
      </w:pPr>
    </w:lvl>
    <w:lvl w:ilvl="6">
      <w:start w:val="1"/>
      <w:numFmt w:val="lowerRoman"/>
      <w:lvlText w:val="(%7)"/>
      <w:legacy w:legacy="1" w:legacySpace="0" w:legacyIndent="708"/>
      <w:lvlJc w:val="left"/>
      <w:pPr>
        <w:ind w:left="3514" w:hanging="708"/>
      </w:pPr>
    </w:lvl>
    <w:lvl w:ilvl="7">
      <w:start w:val="1"/>
      <w:numFmt w:val="lowerLetter"/>
      <w:lvlText w:val="(%8)"/>
      <w:legacy w:legacy="1" w:legacySpace="0" w:legacyIndent="708"/>
      <w:lvlJc w:val="left"/>
      <w:pPr>
        <w:ind w:left="4222" w:hanging="708"/>
      </w:pPr>
    </w:lvl>
    <w:lvl w:ilvl="8">
      <w:start w:val="1"/>
      <w:numFmt w:val="lowerRoman"/>
      <w:lvlText w:val="(%9)"/>
      <w:legacy w:legacy="1" w:legacySpace="0" w:legacyIndent="708"/>
      <w:lvlJc w:val="left"/>
      <w:pPr>
        <w:ind w:left="4930" w:hanging="708"/>
      </w:pPr>
    </w:lvl>
  </w:abstractNum>
  <w:abstractNum w:abstractNumId="26" w15:restartNumberingAfterBreak="0">
    <w:nsid w:val="75883720"/>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AB3FB4"/>
    <w:multiLevelType w:val="hybridMultilevel"/>
    <w:tmpl w:val="7598D07E"/>
    <w:lvl w:ilvl="0" w:tplc="0C090017">
      <w:start w:val="1"/>
      <w:numFmt w:val="lowerLetter"/>
      <w:lvlText w:val="%1)"/>
      <w:lvlJc w:val="left"/>
      <w:pPr>
        <w:tabs>
          <w:tab w:val="num" w:pos="720"/>
        </w:tabs>
        <w:ind w:left="720" w:hanging="360"/>
      </w:pPr>
      <w:rPr>
        <w:rFonts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15"/>
  </w:num>
  <w:num w:numId="5">
    <w:abstractNumId w:val="18"/>
  </w:num>
  <w:num w:numId="6">
    <w:abstractNumId w:val="12"/>
  </w:num>
  <w:num w:numId="7">
    <w:abstractNumId w:val="25"/>
  </w:num>
  <w:num w:numId="8">
    <w:abstractNumId w:val="20"/>
  </w:num>
  <w:num w:numId="9">
    <w:abstractNumId w:val="1"/>
  </w:num>
  <w:num w:numId="10">
    <w:abstractNumId w:val="2"/>
  </w:num>
  <w:num w:numId="11">
    <w:abstractNumId w:val="9"/>
  </w:num>
  <w:num w:numId="12">
    <w:abstractNumId w:val="4"/>
  </w:num>
  <w:num w:numId="13">
    <w:abstractNumId w:val="16"/>
  </w:num>
  <w:num w:numId="14">
    <w:abstractNumId w:val="22"/>
  </w:num>
  <w:num w:numId="15">
    <w:abstractNumId w:val="21"/>
  </w:num>
  <w:num w:numId="16">
    <w:abstractNumId w:val="17"/>
  </w:num>
  <w:num w:numId="17">
    <w:abstractNumId w:val="13"/>
  </w:num>
  <w:num w:numId="18">
    <w:abstractNumId w:val="11"/>
  </w:num>
  <w:num w:numId="19">
    <w:abstractNumId w:val="10"/>
  </w:num>
  <w:num w:numId="20">
    <w:abstractNumId w:val="3"/>
  </w:num>
  <w:num w:numId="21">
    <w:abstractNumId w:val="6"/>
  </w:num>
  <w:num w:numId="22">
    <w:abstractNumId w:val="26"/>
  </w:num>
  <w:num w:numId="23">
    <w:abstractNumId w:val="0"/>
  </w:num>
  <w:num w:numId="24">
    <w:abstractNumId w:val="24"/>
  </w:num>
  <w:num w:numId="25">
    <w:abstractNumId w:val="19"/>
  </w:num>
  <w:num w:numId="26">
    <w:abstractNumId w:val="23"/>
  </w:num>
  <w:num w:numId="27">
    <w:abstractNumId w:val="27"/>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7169">
      <o:colormru v:ext="edit" colors="#cfc,#f2f2e6,#fbfbd9,#cf9,#9fc,#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38"/>
    <w:rsid w:val="00005D75"/>
    <w:rsid w:val="00014CDF"/>
    <w:rsid w:val="000209EB"/>
    <w:rsid w:val="00052CF9"/>
    <w:rsid w:val="0006168D"/>
    <w:rsid w:val="000636C4"/>
    <w:rsid w:val="000A0830"/>
    <w:rsid w:val="000A0AAE"/>
    <w:rsid w:val="000A30B9"/>
    <w:rsid w:val="000B2601"/>
    <w:rsid w:val="000D6E8C"/>
    <w:rsid w:val="000E1E9F"/>
    <w:rsid w:val="000F6C0E"/>
    <w:rsid w:val="00105E5F"/>
    <w:rsid w:val="00123FF5"/>
    <w:rsid w:val="00141B2F"/>
    <w:rsid w:val="001435B0"/>
    <w:rsid w:val="00144DD5"/>
    <w:rsid w:val="00145C54"/>
    <w:rsid w:val="00186E5E"/>
    <w:rsid w:val="001A5EAB"/>
    <w:rsid w:val="001B76BC"/>
    <w:rsid w:val="00234EF0"/>
    <w:rsid w:val="002368AC"/>
    <w:rsid w:val="00256FE2"/>
    <w:rsid w:val="002A635A"/>
    <w:rsid w:val="002B70CF"/>
    <w:rsid w:val="002D13EB"/>
    <w:rsid w:val="002E2E3B"/>
    <w:rsid w:val="002E5069"/>
    <w:rsid w:val="0031415C"/>
    <w:rsid w:val="00322A39"/>
    <w:rsid w:val="003273C5"/>
    <w:rsid w:val="00332E53"/>
    <w:rsid w:val="003430AD"/>
    <w:rsid w:val="00367F0B"/>
    <w:rsid w:val="00373616"/>
    <w:rsid w:val="00392298"/>
    <w:rsid w:val="003A24CD"/>
    <w:rsid w:val="003E543B"/>
    <w:rsid w:val="00400515"/>
    <w:rsid w:val="00406EAA"/>
    <w:rsid w:val="00410412"/>
    <w:rsid w:val="00444AC7"/>
    <w:rsid w:val="004A7470"/>
    <w:rsid w:val="004B575E"/>
    <w:rsid w:val="004D770B"/>
    <w:rsid w:val="004F1E90"/>
    <w:rsid w:val="00510680"/>
    <w:rsid w:val="00510C3B"/>
    <w:rsid w:val="00522740"/>
    <w:rsid w:val="00530738"/>
    <w:rsid w:val="00535B3E"/>
    <w:rsid w:val="005521B2"/>
    <w:rsid w:val="005547ED"/>
    <w:rsid w:val="005836B2"/>
    <w:rsid w:val="005A34A8"/>
    <w:rsid w:val="005C4BCB"/>
    <w:rsid w:val="005D55ED"/>
    <w:rsid w:val="005E1B20"/>
    <w:rsid w:val="00622199"/>
    <w:rsid w:val="0063588D"/>
    <w:rsid w:val="0064123A"/>
    <w:rsid w:val="00651A6E"/>
    <w:rsid w:val="00654597"/>
    <w:rsid w:val="006A757E"/>
    <w:rsid w:val="006B0A6C"/>
    <w:rsid w:val="006D3D9D"/>
    <w:rsid w:val="00704CA6"/>
    <w:rsid w:val="007165C6"/>
    <w:rsid w:val="007171CC"/>
    <w:rsid w:val="00726CDD"/>
    <w:rsid w:val="00727983"/>
    <w:rsid w:val="00731BF0"/>
    <w:rsid w:val="00734EF1"/>
    <w:rsid w:val="00747765"/>
    <w:rsid w:val="00752BCF"/>
    <w:rsid w:val="00761D2B"/>
    <w:rsid w:val="00762884"/>
    <w:rsid w:val="00787799"/>
    <w:rsid w:val="007928C3"/>
    <w:rsid w:val="007A0450"/>
    <w:rsid w:val="007A5ED4"/>
    <w:rsid w:val="007A70A7"/>
    <w:rsid w:val="007A7A6D"/>
    <w:rsid w:val="007B1043"/>
    <w:rsid w:val="007C7F4F"/>
    <w:rsid w:val="00806563"/>
    <w:rsid w:val="008615A4"/>
    <w:rsid w:val="008630AD"/>
    <w:rsid w:val="0087392E"/>
    <w:rsid w:val="0088268A"/>
    <w:rsid w:val="008A4A3B"/>
    <w:rsid w:val="008A57F2"/>
    <w:rsid w:val="00912882"/>
    <w:rsid w:val="00914902"/>
    <w:rsid w:val="009219BC"/>
    <w:rsid w:val="0093244D"/>
    <w:rsid w:val="00954C79"/>
    <w:rsid w:val="00956557"/>
    <w:rsid w:val="00966389"/>
    <w:rsid w:val="009B5302"/>
    <w:rsid w:val="009E47B3"/>
    <w:rsid w:val="009F63BC"/>
    <w:rsid w:val="00A147EA"/>
    <w:rsid w:val="00A44C96"/>
    <w:rsid w:val="00A600C6"/>
    <w:rsid w:val="00A75361"/>
    <w:rsid w:val="00A7750C"/>
    <w:rsid w:val="00A82FF0"/>
    <w:rsid w:val="00A90421"/>
    <w:rsid w:val="00AA13D8"/>
    <w:rsid w:val="00AB4399"/>
    <w:rsid w:val="00AB53A9"/>
    <w:rsid w:val="00AB652F"/>
    <w:rsid w:val="00AC2BD7"/>
    <w:rsid w:val="00AF129A"/>
    <w:rsid w:val="00B00EA6"/>
    <w:rsid w:val="00B106EE"/>
    <w:rsid w:val="00B13155"/>
    <w:rsid w:val="00B3272A"/>
    <w:rsid w:val="00B71284"/>
    <w:rsid w:val="00B774A5"/>
    <w:rsid w:val="00B83F6D"/>
    <w:rsid w:val="00B85DC9"/>
    <w:rsid w:val="00BC3883"/>
    <w:rsid w:val="00BC5F69"/>
    <w:rsid w:val="00BF069C"/>
    <w:rsid w:val="00C24B48"/>
    <w:rsid w:val="00C87541"/>
    <w:rsid w:val="00CD7086"/>
    <w:rsid w:val="00CE4BC5"/>
    <w:rsid w:val="00D24E5A"/>
    <w:rsid w:val="00D264E7"/>
    <w:rsid w:val="00D436D6"/>
    <w:rsid w:val="00D74D54"/>
    <w:rsid w:val="00D76DD4"/>
    <w:rsid w:val="00D94C34"/>
    <w:rsid w:val="00D96562"/>
    <w:rsid w:val="00D975AF"/>
    <w:rsid w:val="00DE7B8A"/>
    <w:rsid w:val="00E1101D"/>
    <w:rsid w:val="00E36FC5"/>
    <w:rsid w:val="00E409C1"/>
    <w:rsid w:val="00E46EBE"/>
    <w:rsid w:val="00ED49B9"/>
    <w:rsid w:val="00EF12EF"/>
    <w:rsid w:val="00EF3D8A"/>
    <w:rsid w:val="00F03156"/>
    <w:rsid w:val="00F31089"/>
    <w:rsid w:val="00FA166F"/>
    <w:rsid w:val="00FB0988"/>
    <w:rsid w:val="00FD6E37"/>
    <w:rsid w:val="00FE6655"/>
    <w:rsid w:val="00FF1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cfc,#f2f2e6,#fbfbd9,#cf9,#9fc,#eaeaea"/>
    </o:shapedefaults>
    <o:shapelayout v:ext="edit">
      <o:idmap v:ext="edit" data="1"/>
    </o:shapelayout>
  </w:shapeDefaults>
  <w:decimalSymbol w:val="."/>
  <w:listSeparator w:val=","/>
  <w15:chartTrackingRefBased/>
  <w15:docId w15:val="{18409290-22CD-4884-A9D3-CB1901DF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napToGrid w:val="0"/>
      <w:color w:val="000000"/>
      <w:sz w:val="22"/>
    </w:rPr>
  </w:style>
  <w:style w:type="paragraph" w:styleId="Heading2">
    <w:name w:val="heading 2"/>
    <w:basedOn w:val="Normal"/>
    <w:next w:val="Normal"/>
    <w:qFormat/>
    <w:pPr>
      <w:keepNext/>
      <w:tabs>
        <w:tab w:val="left" w:pos="1134"/>
        <w:tab w:val="left" w:pos="1985"/>
        <w:tab w:val="left" w:pos="2977"/>
      </w:tabs>
      <w:jc w:val="both"/>
      <w:outlineLvl w:val="1"/>
    </w:pPr>
    <w:rPr>
      <w:rFonts w:ascii="CG Times" w:hAnsi="CG Times"/>
      <w:u w:val="single"/>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outlineLvl w:val="3"/>
    </w:pPr>
    <w:rPr>
      <w:b/>
      <w:snapToGrid w:val="0"/>
      <w:color w:val="000000"/>
      <w:sz w:val="16"/>
    </w:rPr>
  </w:style>
  <w:style w:type="paragraph" w:styleId="Heading5">
    <w:name w:val="heading 5"/>
    <w:basedOn w:val="Normal"/>
    <w:next w:val="Normal"/>
    <w:qFormat/>
    <w:pPr>
      <w:keepNext/>
      <w:jc w:val="center"/>
      <w:outlineLvl w:val="4"/>
    </w:pPr>
    <w:rPr>
      <w:b/>
      <w:snapToGrid w:val="0"/>
      <w:color w:val="000000"/>
    </w:rPr>
  </w:style>
  <w:style w:type="paragraph" w:styleId="Heading6">
    <w:name w:val="heading 6"/>
    <w:basedOn w:val="Normal"/>
    <w:next w:val="Normal"/>
    <w:qFormat/>
    <w:pPr>
      <w:keepNext/>
      <w:jc w:val="center"/>
      <w:outlineLvl w:val="5"/>
    </w:pPr>
    <w:rPr>
      <w:b/>
      <w:sz w:val="25"/>
    </w:rPr>
  </w:style>
  <w:style w:type="paragraph" w:styleId="Heading7">
    <w:name w:val="heading 7"/>
    <w:basedOn w:val="Normal"/>
    <w:next w:val="Normal"/>
    <w:qFormat/>
    <w:pPr>
      <w:keepNext/>
      <w:pBdr>
        <w:top w:val="single" w:sz="4" w:space="1" w:color="auto"/>
      </w:pBdr>
      <w:jc w:val="right"/>
      <w:outlineLvl w:val="6"/>
    </w:pPr>
    <w:rPr>
      <w:rFonts w:ascii="Bookman Old Style" w:hAnsi="Bookman Old Style"/>
      <w:b/>
      <w:sz w:val="20"/>
    </w:rPr>
  </w:style>
  <w:style w:type="paragraph" w:styleId="Heading8">
    <w:name w:val="heading 8"/>
    <w:basedOn w:val="Normal"/>
    <w:next w:val="Normal"/>
    <w:link w:val="Heading8Char"/>
    <w:qFormat/>
    <w:pPr>
      <w:keepNext/>
      <w:jc w:val="center"/>
      <w:outlineLvl w:val="7"/>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rPr>
      <w:rFonts w:ascii="Helvetica" w:hAnsi="Helvetica"/>
    </w:rPr>
  </w:style>
  <w:style w:type="paragraph" w:styleId="FootnoteText">
    <w:name w:val="footnote text"/>
    <w:basedOn w:val="Normal"/>
    <w:semiHidden/>
    <w:rPr>
      <w:rFonts w:ascii="Helvetica" w:hAnsi="Helvetica"/>
    </w:rPr>
  </w:style>
  <w:style w:type="paragraph" w:customStyle="1" w:styleId="RightPar1">
    <w:name w:val="Right Par 1"/>
    <w:pPr>
      <w:tabs>
        <w:tab w:val="left" w:pos="-720"/>
        <w:tab w:val="left" w:pos="0"/>
        <w:tab w:val="decimal" w:pos="720"/>
      </w:tabs>
      <w:suppressAutoHyphens/>
      <w:ind w:left="720"/>
    </w:pPr>
    <w:rPr>
      <w:rFonts w:ascii="Helvetica" w:hAnsi="Helvetica"/>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Helvetica" w:hAnsi="Helvetica"/>
      <w:sz w:val="24"/>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Helvetica" w:hAnsi="Helvetica"/>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Helvetica" w:hAnsi="Helvetica"/>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Helvetica" w:hAnsi="Helvetica"/>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Helvetica" w:hAnsi="Helvetica"/>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Helvetica" w:hAnsi="Helvetica"/>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Helvetica" w:hAnsi="Helvetica"/>
      <w:sz w:val="24"/>
      <w:lang w:val="en-US" w:eastAsia="en-US"/>
    </w:rPr>
  </w:style>
  <w:style w:type="paragraph" w:customStyle="1" w:styleId="Document1">
    <w:name w:val="Document 1"/>
    <w:pPr>
      <w:keepNext/>
      <w:keepLines/>
      <w:tabs>
        <w:tab w:val="left" w:pos="-720"/>
      </w:tabs>
      <w:suppressAutoHyphens/>
    </w:pPr>
    <w:rPr>
      <w:rFonts w:ascii="Helvetica" w:hAnsi="Helvetica"/>
      <w:sz w:val="24"/>
      <w:lang w:val="en-US" w:eastAsia="en-US"/>
    </w:rPr>
  </w:style>
  <w:style w:type="paragraph" w:customStyle="1" w:styleId="Technical5">
    <w:name w:val="Technical 5"/>
    <w:pPr>
      <w:tabs>
        <w:tab w:val="left" w:pos="-720"/>
      </w:tabs>
      <w:suppressAutoHyphens/>
      <w:ind w:firstLine="720"/>
    </w:pPr>
    <w:rPr>
      <w:rFonts w:ascii="Helvetica" w:hAnsi="Helvetica"/>
      <w:b/>
      <w:sz w:val="24"/>
      <w:lang w:val="en-US" w:eastAsia="en-US"/>
    </w:rPr>
  </w:style>
  <w:style w:type="paragraph" w:customStyle="1" w:styleId="Technical6">
    <w:name w:val="Technical 6"/>
    <w:pPr>
      <w:tabs>
        <w:tab w:val="left" w:pos="-720"/>
      </w:tabs>
      <w:suppressAutoHyphens/>
      <w:ind w:firstLine="720"/>
    </w:pPr>
    <w:rPr>
      <w:rFonts w:ascii="Helvetica" w:hAnsi="Helvetica"/>
      <w:b/>
      <w:sz w:val="24"/>
      <w:lang w:val="en-US" w:eastAsia="en-US"/>
    </w:rPr>
  </w:style>
  <w:style w:type="paragraph" w:customStyle="1" w:styleId="Technical4">
    <w:name w:val="Technical 4"/>
    <w:pPr>
      <w:tabs>
        <w:tab w:val="left" w:pos="-720"/>
      </w:tabs>
      <w:suppressAutoHyphens/>
    </w:pPr>
    <w:rPr>
      <w:rFonts w:ascii="Helvetica" w:hAnsi="Helvetica"/>
      <w:b/>
      <w:sz w:val="24"/>
      <w:lang w:val="en-US" w:eastAsia="en-US"/>
    </w:rPr>
  </w:style>
  <w:style w:type="paragraph" w:customStyle="1" w:styleId="Technical7">
    <w:name w:val="Technical 7"/>
    <w:pPr>
      <w:tabs>
        <w:tab w:val="left" w:pos="-720"/>
      </w:tabs>
      <w:suppressAutoHyphens/>
      <w:ind w:firstLine="720"/>
    </w:pPr>
    <w:rPr>
      <w:rFonts w:ascii="Helvetica" w:hAnsi="Helvetica"/>
      <w:b/>
      <w:sz w:val="24"/>
      <w:lang w:val="en-US" w:eastAsia="en-US"/>
    </w:rPr>
  </w:style>
  <w:style w:type="paragraph" w:customStyle="1" w:styleId="Technical8">
    <w:name w:val="Technical 8"/>
    <w:pPr>
      <w:tabs>
        <w:tab w:val="left" w:pos="-720"/>
      </w:tabs>
      <w:suppressAutoHyphens/>
      <w:ind w:firstLine="720"/>
    </w:pPr>
    <w:rPr>
      <w:rFonts w:ascii="Helvetica" w:hAnsi="Helvetica"/>
      <w:b/>
      <w:sz w:val="24"/>
      <w:lang w:val="en-US" w:eastAsia="en-US"/>
    </w:rPr>
  </w:style>
  <w:style w:type="paragraph" w:styleId="TOC1">
    <w:name w:val="toc 1"/>
    <w:basedOn w:val="Normal"/>
    <w:next w:val="Normal"/>
    <w:autoRedefine/>
    <w:semiHidden/>
    <w:pPr>
      <w:tabs>
        <w:tab w:val="right" w:leader="dot" w:pos="9360"/>
      </w:tabs>
      <w:suppressAutoHyphens/>
      <w:spacing w:before="480"/>
      <w:ind w:left="720" w:right="720" w:hanging="720"/>
    </w:pPr>
    <w:rPr>
      <w:rFonts w:ascii="Helvetica" w:hAnsi="Helvetica"/>
      <w:lang w:val="en-US"/>
    </w:rPr>
  </w:style>
  <w:style w:type="paragraph" w:styleId="TOC2">
    <w:name w:val="toc 2"/>
    <w:basedOn w:val="Normal"/>
    <w:next w:val="Normal"/>
    <w:autoRedefine/>
    <w:semiHidden/>
    <w:pPr>
      <w:tabs>
        <w:tab w:val="right" w:leader="dot" w:pos="9360"/>
      </w:tabs>
      <w:suppressAutoHyphens/>
      <w:ind w:left="1440" w:right="720" w:hanging="720"/>
    </w:pPr>
    <w:rPr>
      <w:rFonts w:ascii="Helvetica" w:hAnsi="Helvetica"/>
      <w:lang w:val="en-US"/>
    </w:rPr>
  </w:style>
  <w:style w:type="paragraph" w:styleId="TOC3">
    <w:name w:val="toc 3"/>
    <w:basedOn w:val="Normal"/>
    <w:next w:val="Normal"/>
    <w:autoRedefine/>
    <w:semiHidden/>
    <w:pPr>
      <w:tabs>
        <w:tab w:val="right" w:leader="dot" w:pos="9360"/>
      </w:tabs>
      <w:suppressAutoHyphens/>
      <w:ind w:left="2160" w:right="720" w:hanging="720"/>
    </w:pPr>
    <w:rPr>
      <w:rFonts w:ascii="Helvetica" w:hAnsi="Helvetica"/>
      <w:lang w:val="en-US"/>
    </w:rPr>
  </w:style>
  <w:style w:type="paragraph" w:styleId="TOC4">
    <w:name w:val="toc 4"/>
    <w:basedOn w:val="Normal"/>
    <w:next w:val="Normal"/>
    <w:autoRedefine/>
    <w:semiHidden/>
    <w:pPr>
      <w:tabs>
        <w:tab w:val="right" w:leader="dot" w:pos="9360"/>
      </w:tabs>
      <w:suppressAutoHyphens/>
      <w:ind w:left="2880" w:right="720" w:hanging="720"/>
    </w:pPr>
    <w:rPr>
      <w:rFonts w:ascii="Helvetica" w:hAnsi="Helvetica"/>
      <w:lang w:val="en-US"/>
    </w:rPr>
  </w:style>
  <w:style w:type="paragraph" w:styleId="TOC5">
    <w:name w:val="toc 5"/>
    <w:basedOn w:val="Normal"/>
    <w:next w:val="Normal"/>
    <w:autoRedefine/>
    <w:semiHidden/>
    <w:pPr>
      <w:tabs>
        <w:tab w:val="right" w:leader="dot" w:pos="9360"/>
      </w:tabs>
      <w:suppressAutoHyphens/>
      <w:ind w:left="3600" w:right="720" w:hanging="720"/>
    </w:pPr>
    <w:rPr>
      <w:rFonts w:ascii="Helvetica" w:hAnsi="Helvetica"/>
      <w:lang w:val="en-US"/>
    </w:rPr>
  </w:style>
  <w:style w:type="paragraph" w:styleId="TOC6">
    <w:name w:val="toc 6"/>
    <w:basedOn w:val="Normal"/>
    <w:next w:val="Normal"/>
    <w:autoRedefine/>
    <w:semiHidden/>
    <w:pPr>
      <w:tabs>
        <w:tab w:val="right" w:pos="9360"/>
      </w:tabs>
      <w:suppressAutoHyphens/>
      <w:ind w:left="720" w:hanging="720"/>
    </w:pPr>
    <w:rPr>
      <w:rFonts w:ascii="Helvetica" w:hAnsi="Helvetica"/>
      <w:lang w:val="en-US"/>
    </w:rPr>
  </w:style>
  <w:style w:type="paragraph" w:styleId="TOC7">
    <w:name w:val="toc 7"/>
    <w:basedOn w:val="Normal"/>
    <w:next w:val="Normal"/>
    <w:autoRedefine/>
    <w:semiHidden/>
    <w:pPr>
      <w:suppressAutoHyphens/>
      <w:ind w:left="720" w:hanging="720"/>
    </w:pPr>
    <w:rPr>
      <w:rFonts w:ascii="Helvetica" w:hAnsi="Helvetica"/>
      <w:lang w:val="en-US"/>
    </w:rPr>
  </w:style>
  <w:style w:type="paragraph" w:styleId="TOC8">
    <w:name w:val="toc 8"/>
    <w:basedOn w:val="Normal"/>
    <w:next w:val="Normal"/>
    <w:autoRedefine/>
    <w:semiHidden/>
    <w:pPr>
      <w:tabs>
        <w:tab w:val="right" w:pos="9360"/>
      </w:tabs>
      <w:suppressAutoHyphens/>
      <w:ind w:left="720" w:hanging="720"/>
    </w:pPr>
    <w:rPr>
      <w:rFonts w:ascii="Helvetica" w:hAnsi="Helvetica"/>
      <w:lang w:val="en-US"/>
    </w:rPr>
  </w:style>
  <w:style w:type="paragraph" w:styleId="TOC9">
    <w:name w:val="toc 9"/>
    <w:basedOn w:val="Normal"/>
    <w:next w:val="Normal"/>
    <w:autoRedefine/>
    <w:semiHidden/>
    <w:pPr>
      <w:tabs>
        <w:tab w:val="right" w:leader="dot" w:pos="9360"/>
      </w:tabs>
      <w:suppressAutoHyphens/>
      <w:ind w:left="720" w:hanging="720"/>
    </w:pPr>
    <w:rPr>
      <w:rFonts w:ascii="Helvetica" w:hAnsi="Helvetica"/>
      <w:lang w:val="en-US"/>
    </w:rPr>
  </w:style>
  <w:style w:type="paragraph" w:styleId="Index1">
    <w:name w:val="index 1"/>
    <w:basedOn w:val="Normal"/>
    <w:next w:val="Normal"/>
    <w:autoRedefine/>
    <w:semiHidden/>
    <w:pPr>
      <w:tabs>
        <w:tab w:val="right" w:leader="dot" w:pos="9360"/>
      </w:tabs>
      <w:suppressAutoHyphens/>
      <w:ind w:left="1440" w:right="720" w:hanging="1440"/>
    </w:pPr>
    <w:rPr>
      <w:rFonts w:ascii="Helvetica" w:hAnsi="Helvetica"/>
      <w:lang w:val="en-US"/>
    </w:rPr>
  </w:style>
  <w:style w:type="paragraph" w:styleId="Index2">
    <w:name w:val="index 2"/>
    <w:basedOn w:val="Normal"/>
    <w:next w:val="Normal"/>
    <w:autoRedefine/>
    <w:semiHidden/>
    <w:pPr>
      <w:tabs>
        <w:tab w:val="right" w:leader="dot" w:pos="9360"/>
      </w:tabs>
      <w:suppressAutoHyphens/>
      <w:ind w:left="1440" w:right="720" w:hanging="720"/>
    </w:pPr>
    <w:rPr>
      <w:rFonts w:ascii="Helvetica" w:hAnsi="Helvetica"/>
      <w:lang w:val="en-US"/>
    </w:rPr>
  </w:style>
  <w:style w:type="paragraph" w:styleId="TOAHeading">
    <w:name w:val="toa heading"/>
    <w:basedOn w:val="Normal"/>
    <w:next w:val="Normal"/>
    <w:semiHidden/>
    <w:pPr>
      <w:tabs>
        <w:tab w:val="right" w:pos="9360"/>
      </w:tabs>
      <w:suppressAutoHyphens/>
    </w:pPr>
    <w:rPr>
      <w:rFonts w:ascii="Helvetica" w:hAnsi="Helvetica"/>
      <w:lang w:val="en-US"/>
    </w:rPr>
  </w:style>
  <w:style w:type="paragraph" w:styleId="Caption">
    <w:name w:val="caption"/>
    <w:basedOn w:val="Normal"/>
    <w:next w:val="Normal"/>
    <w:qFormat/>
    <w:rPr>
      <w:rFonts w:ascii="Helvetica" w:hAnsi="Helvetica"/>
    </w:rPr>
  </w:style>
  <w:style w:type="paragraph" w:styleId="BodyText2">
    <w:name w:val="Body Text 2"/>
    <w:basedOn w:val="Normal"/>
    <w:pPr>
      <w:tabs>
        <w:tab w:val="left" w:pos="1134"/>
        <w:tab w:val="left" w:pos="1985"/>
      </w:tabs>
      <w:ind w:left="1140"/>
      <w:jc w:val="both"/>
    </w:pPr>
    <w:rPr>
      <w:rFonts w:ascii="CG Times" w:hAnsi="CG Times"/>
    </w:rPr>
  </w:style>
  <w:style w:type="paragraph" w:customStyle="1" w:styleId="BodyText21">
    <w:name w:val="Body Text 21"/>
    <w:basedOn w:val="Normal"/>
    <w:pPr>
      <w:tabs>
        <w:tab w:val="left" w:pos="1134"/>
        <w:tab w:val="left" w:pos="1985"/>
        <w:tab w:val="left" w:pos="3402"/>
      </w:tabs>
      <w:jc w:val="both"/>
    </w:pPr>
    <w:rPr>
      <w:rFonts w:ascii="CG Times" w:hAnsi="CG Times"/>
    </w:rPr>
  </w:style>
  <w:style w:type="paragraph" w:styleId="BodyTextIndent2">
    <w:name w:val="Body Text Indent 2"/>
    <w:basedOn w:val="Normal"/>
    <w:pPr>
      <w:tabs>
        <w:tab w:val="left" w:pos="1134"/>
        <w:tab w:val="left" w:pos="1985"/>
        <w:tab w:val="left" w:pos="2977"/>
      </w:tabs>
      <w:ind w:left="1985"/>
      <w:jc w:val="both"/>
    </w:pPr>
    <w:rPr>
      <w:rFonts w:ascii="CG Times" w:hAnsi="CG Times"/>
    </w:rPr>
  </w:style>
  <w:style w:type="paragraph" w:styleId="BodyTextIndent3">
    <w:name w:val="Body Text Indent 3"/>
    <w:basedOn w:val="Normal"/>
    <w:pPr>
      <w:tabs>
        <w:tab w:val="left" w:pos="1134"/>
        <w:tab w:val="left" w:pos="1985"/>
        <w:tab w:val="left" w:pos="2977"/>
      </w:tabs>
      <w:ind w:left="1134"/>
      <w:jc w:val="both"/>
    </w:pPr>
    <w:rPr>
      <w:rFonts w:ascii="CG Times" w:hAnsi="CG Times"/>
    </w:rPr>
  </w:style>
  <w:style w:type="paragraph" w:styleId="BodyText">
    <w:name w:val="Body Text"/>
    <w:basedOn w:val="Normal"/>
    <w:pPr>
      <w:suppressAutoHyphens/>
      <w:jc w:val="both"/>
    </w:pPr>
    <w:rPr>
      <w:rFonts w:ascii="Times New Roman" w:hAnsi="Times New Roman"/>
      <w:b/>
      <w:sz w:val="25"/>
    </w:rPr>
  </w:style>
  <w:style w:type="paragraph" w:styleId="BodyTextIndent">
    <w:name w:val="Body Text Indent"/>
    <w:basedOn w:val="Normal"/>
    <w:pPr>
      <w:suppressAutoHyphens/>
      <w:ind w:left="720" w:hanging="720"/>
    </w:pPr>
    <w:rPr>
      <w:rFonts w:ascii="Times New Roman" w:hAnsi="Times New Roman"/>
      <w:sz w:val="25"/>
    </w:rPr>
  </w:style>
  <w:style w:type="paragraph" w:customStyle="1" w:styleId="Body">
    <w:name w:val="Body"/>
    <w:basedOn w:val="Normal"/>
    <w:pPr>
      <w:spacing w:after="240"/>
      <w:ind w:left="567"/>
    </w:pPr>
  </w:style>
  <w:style w:type="paragraph" w:styleId="BodyText3">
    <w:name w:val="Body Text 3"/>
    <w:basedOn w:val="Normal"/>
    <w:pPr>
      <w:jc w:val="center"/>
    </w:pPr>
    <w:rPr>
      <w:rFonts w:ascii="Bookman Old Style" w:hAnsi="Bookman Old Style"/>
      <w:b/>
      <w:color w:val="800000"/>
      <w:sz w:val="56"/>
      <w14:shadow w14:blurRad="50800" w14:dist="38100" w14:dir="2700000" w14:sx="100000" w14:sy="100000" w14:kx="0" w14:ky="0" w14:algn="tl">
        <w14:srgbClr w14:val="000000">
          <w14:alpha w14:val="60000"/>
        </w14:srgbClr>
      </w14:shadow>
    </w:rPr>
  </w:style>
  <w:style w:type="paragraph" w:customStyle="1" w:styleId="DotPoint">
    <w:name w:val="Dot Point"/>
    <w:basedOn w:val="Normal"/>
    <w:pPr>
      <w:numPr>
        <w:numId w:val="1"/>
      </w:numPr>
      <w:spacing w:before="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TenderText">
    <w:name w:val="Tender Text"/>
    <w:basedOn w:val="Normal"/>
    <w:pPr>
      <w:suppressAutoHyphens/>
      <w:jc w:val="both"/>
    </w:pPr>
    <w:rPr>
      <w:sz w:val="20"/>
    </w:rPr>
  </w:style>
  <w:style w:type="table" w:styleId="TableGrid">
    <w:name w:val="Table Grid"/>
    <w:basedOn w:val="TableNormal"/>
    <w:rsid w:val="0044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A57F2"/>
    <w:rPr>
      <w:sz w:val="16"/>
      <w:szCs w:val="16"/>
    </w:rPr>
  </w:style>
  <w:style w:type="character" w:customStyle="1" w:styleId="Heading8Char">
    <w:name w:val="Heading 8 Char"/>
    <w:basedOn w:val="DefaultParagraphFont"/>
    <w:link w:val="Heading8"/>
    <w:rsid w:val="002B70CF"/>
    <w:rPr>
      <w:rFonts w:ascii="Bookman Old Style" w:hAnsi="Bookman Old Style"/>
      <w:b/>
      <w:lang w:eastAsia="en-US"/>
    </w:rPr>
  </w:style>
  <w:style w:type="character" w:customStyle="1" w:styleId="FooterChar">
    <w:name w:val="Footer Char"/>
    <w:basedOn w:val="DefaultParagraphFont"/>
    <w:link w:val="Footer"/>
    <w:uiPriority w:val="99"/>
    <w:rsid w:val="002B70CF"/>
    <w:rPr>
      <w:rFonts w:ascii="Arial" w:hAnsi="Arial"/>
      <w:sz w:val="24"/>
      <w:lang w:eastAsia="en-US"/>
    </w:rPr>
  </w:style>
  <w:style w:type="paragraph" w:styleId="CommentText">
    <w:name w:val="annotation text"/>
    <w:basedOn w:val="Normal"/>
    <w:link w:val="CommentTextChar"/>
    <w:rsid w:val="00E1101D"/>
    <w:rPr>
      <w:rFonts w:ascii="Helvetica" w:hAnsi="Helvetica" w:cs="Arial"/>
      <w:sz w:val="20"/>
      <w:szCs w:val="22"/>
    </w:rPr>
  </w:style>
  <w:style w:type="character" w:customStyle="1" w:styleId="CommentTextChar">
    <w:name w:val="Comment Text Char"/>
    <w:basedOn w:val="DefaultParagraphFont"/>
    <w:link w:val="CommentText"/>
    <w:rsid w:val="00E1101D"/>
    <w:rPr>
      <w:rFonts w:ascii="Helvetica" w:hAnsi="Helvetica" w:cs="Arial"/>
      <w:szCs w:val="22"/>
      <w:lang w:eastAsia="en-US"/>
    </w:rPr>
  </w:style>
  <w:style w:type="character" w:styleId="FootnoteReference">
    <w:name w:val="footnote reference"/>
    <w:basedOn w:val="DefaultParagraphFont"/>
    <w:rsid w:val="007928C3"/>
    <w:rPr>
      <w:vertAlign w:val="superscript"/>
    </w:rPr>
  </w:style>
  <w:style w:type="paragraph" w:customStyle="1" w:styleId="Paragraph">
    <w:name w:val="Paragraph"/>
    <w:link w:val="ParagraphChar"/>
    <w:rsid w:val="00FD6E37"/>
    <w:pPr>
      <w:keepLines/>
      <w:spacing w:before="240" w:after="240" w:line="240" w:lineRule="atLeast"/>
    </w:pPr>
    <w:rPr>
      <w:rFonts w:ascii="Arial" w:hAnsi="Arial"/>
      <w:sz w:val="22"/>
      <w:szCs w:val="22"/>
    </w:rPr>
  </w:style>
  <w:style w:type="character" w:customStyle="1" w:styleId="ParagraphChar">
    <w:name w:val="Paragraph Char"/>
    <w:link w:val="Paragraph"/>
    <w:rsid w:val="00FD6E37"/>
    <w:rPr>
      <w:rFonts w:ascii="Arial" w:hAnsi="Arial"/>
      <w:sz w:val="22"/>
      <w:szCs w:val="22"/>
    </w:rPr>
  </w:style>
  <w:style w:type="paragraph" w:customStyle="1" w:styleId="Para66ptspaceafter">
    <w:name w:val="Para 6 (6pt space after)"/>
    <w:link w:val="Para66ptspaceafterChar"/>
    <w:rsid w:val="00FD6E37"/>
    <w:pPr>
      <w:keepNext/>
      <w:spacing w:before="120" w:line="240" w:lineRule="atLeast"/>
    </w:pPr>
    <w:rPr>
      <w:rFonts w:ascii="Arial" w:hAnsi="Arial"/>
      <w:sz w:val="22"/>
      <w:szCs w:val="22"/>
    </w:rPr>
  </w:style>
  <w:style w:type="character" w:customStyle="1" w:styleId="Para66ptspaceafterChar">
    <w:name w:val="Para 6 (6pt space after) Char"/>
    <w:basedOn w:val="ParagraphChar"/>
    <w:link w:val="Para66ptspaceafter"/>
    <w:locked/>
    <w:rsid w:val="00FD6E37"/>
    <w:rPr>
      <w:rFonts w:ascii="Arial" w:hAnsi="Arial"/>
      <w:sz w:val="22"/>
      <w:szCs w:val="22"/>
    </w:rPr>
  </w:style>
  <w:style w:type="character" w:customStyle="1" w:styleId="HeaderChar">
    <w:name w:val="Header Char"/>
    <w:basedOn w:val="DefaultParagraphFont"/>
    <w:link w:val="Header"/>
    <w:rsid w:val="00FD6E37"/>
    <w:rPr>
      <w:rFonts w:ascii="Arial" w:hAnsi="Arial"/>
      <w:sz w:val="24"/>
      <w:lang w:eastAsia="en-US"/>
    </w:rPr>
  </w:style>
  <w:style w:type="paragraph" w:customStyle="1" w:styleId="TableFigureLeft">
    <w:name w:val="Table / Figure Left"/>
    <w:link w:val="TableFigureLeftChar"/>
    <w:rsid w:val="00FD6E37"/>
    <w:pPr>
      <w:spacing w:before="40" w:after="40"/>
    </w:pPr>
    <w:rPr>
      <w:rFonts w:ascii="Arial" w:hAnsi="Arial" w:cs="Arial"/>
      <w:sz w:val="18"/>
      <w:szCs w:val="18"/>
    </w:rPr>
  </w:style>
  <w:style w:type="paragraph" w:customStyle="1" w:styleId="TableFigureLevel1Bullet">
    <w:name w:val="Table / Figure Level 1 Bullet"/>
    <w:link w:val="TableFigureLevel1BulletCharChar"/>
    <w:rsid w:val="00FD6E37"/>
    <w:pPr>
      <w:numPr>
        <w:numId w:val="16"/>
      </w:numPr>
      <w:tabs>
        <w:tab w:val="clear" w:pos="284"/>
        <w:tab w:val="num" w:pos="267"/>
      </w:tabs>
      <w:spacing w:before="40" w:after="40"/>
      <w:ind w:left="267" w:hanging="267"/>
    </w:pPr>
    <w:rPr>
      <w:rFonts w:ascii="Arial" w:hAnsi="Arial"/>
      <w:sz w:val="18"/>
      <w:szCs w:val="18"/>
    </w:rPr>
  </w:style>
  <w:style w:type="character" w:customStyle="1" w:styleId="TableFigureLevel1BulletCharChar">
    <w:name w:val="Table / Figure Level 1 Bullet Char Char"/>
    <w:link w:val="TableFigureLevel1Bullet"/>
    <w:rsid w:val="00FD6E37"/>
    <w:rPr>
      <w:rFonts w:ascii="Arial" w:hAnsi="Arial"/>
      <w:sz w:val="18"/>
      <w:szCs w:val="18"/>
    </w:rPr>
  </w:style>
  <w:style w:type="character" w:customStyle="1" w:styleId="TableFigureLeftChar">
    <w:name w:val="Table / Figure Left Char"/>
    <w:basedOn w:val="DefaultParagraphFont"/>
    <w:link w:val="TableFigureLeft"/>
    <w:locked/>
    <w:rsid w:val="00FD6E37"/>
    <w:rPr>
      <w:rFonts w:ascii="Arial" w:hAnsi="Arial" w:cs="Arial"/>
      <w:sz w:val="18"/>
      <w:szCs w:val="18"/>
    </w:rPr>
  </w:style>
  <w:style w:type="paragraph" w:styleId="ListParagraph">
    <w:name w:val="List Paragraph"/>
    <w:basedOn w:val="Normal"/>
    <w:uiPriority w:val="34"/>
    <w:qFormat/>
    <w:rsid w:val="00FD6E37"/>
    <w:pPr>
      <w:spacing w:line="240" w:lineRule="atLeast"/>
      <w:ind w:left="720"/>
      <w:contextualSpacing/>
    </w:pPr>
    <w:rPr>
      <w:rFonts w:ascii="Calibri" w:hAnsi="Calibri"/>
      <w:sz w:val="22"/>
      <w:szCs w:val="22"/>
      <w:lang w:eastAsia="en-AU"/>
    </w:rPr>
  </w:style>
  <w:style w:type="paragraph" w:customStyle="1" w:styleId="BulletList">
    <w:name w:val="Bullet List"/>
    <w:link w:val="BulletListChar"/>
    <w:rsid w:val="00FD6E37"/>
    <w:pPr>
      <w:keepLines/>
      <w:tabs>
        <w:tab w:val="num" w:pos="1134"/>
      </w:tabs>
      <w:spacing w:before="120" w:line="240" w:lineRule="atLeast"/>
      <w:ind w:left="1134" w:hanging="567"/>
    </w:pPr>
    <w:rPr>
      <w:rFonts w:ascii="Arial" w:hAnsi="Arial"/>
      <w:sz w:val="22"/>
      <w:szCs w:val="22"/>
    </w:rPr>
  </w:style>
  <w:style w:type="character" w:customStyle="1" w:styleId="BulletListChar">
    <w:name w:val="Bullet List Char"/>
    <w:basedOn w:val="DefaultParagraphFont"/>
    <w:link w:val="BulletList"/>
    <w:locked/>
    <w:rsid w:val="00FD6E3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4494">
      <w:bodyDiv w:val="1"/>
      <w:marLeft w:val="0"/>
      <w:marRight w:val="0"/>
      <w:marTop w:val="0"/>
      <w:marBottom w:val="0"/>
      <w:divBdr>
        <w:top w:val="none" w:sz="0" w:space="0" w:color="auto"/>
        <w:left w:val="none" w:sz="0" w:space="0" w:color="auto"/>
        <w:bottom w:val="none" w:sz="0" w:space="0" w:color="auto"/>
        <w:right w:val="none" w:sz="0" w:space="0" w:color="auto"/>
      </w:divBdr>
    </w:div>
    <w:div w:id="904805217">
      <w:bodyDiv w:val="1"/>
      <w:marLeft w:val="0"/>
      <w:marRight w:val="0"/>
      <w:marTop w:val="0"/>
      <w:marBottom w:val="0"/>
      <w:divBdr>
        <w:top w:val="none" w:sz="0" w:space="0" w:color="auto"/>
        <w:left w:val="none" w:sz="0" w:space="0" w:color="auto"/>
        <w:bottom w:val="none" w:sz="0" w:space="0" w:color="auto"/>
        <w:right w:val="none" w:sz="0" w:space="0" w:color="auto"/>
      </w:divBdr>
    </w:div>
    <w:div w:id="11431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TI.Prequal@sa.gov.a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i.sa.gov.au/contractor_documents/prequalification" TargetMode="External"/><Relationship Id="rId17" Type="http://schemas.openxmlformats.org/officeDocument/2006/relationships/hyperlink" Target="%20http://www.dpti.sa.gov.au/documents/contractsandtenders/prequalificatio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BFFFF-2C9D-4697-A51A-119EEB36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2274</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DTEI</Company>
  <LinksUpToDate>false</LinksUpToDate>
  <CharactersWithSpaces>15824</CharactersWithSpaces>
  <SharedDoc>false</SharedDoc>
  <HLinks>
    <vt:vector size="18" baseType="variant">
      <vt:variant>
        <vt:i4>6029384</vt:i4>
      </vt:variant>
      <vt:variant>
        <vt:i4>6</vt:i4>
      </vt:variant>
      <vt:variant>
        <vt:i4>0</vt:i4>
      </vt:variant>
      <vt:variant>
        <vt:i4>5</vt:i4>
      </vt:variant>
      <vt:variant>
        <vt:lpwstr>http://www.dpti.sa.gov.au/documents/contractsandtenders/prequalification</vt:lpwstr>
      </vt:variant>
      <vt:variant>
        <vt:lpwstr/>
      </vt:variant>
      <vt:variant>
        <vt:i4>2818085</vt:i4>
      </vt:variant>
      <vt:variant>
        <vt:i4>3</vt:i4>
      </vt:variant>
      <vt:variant>
        <vt:i4>0</vt:i4>
      </vt:variant>
      <vt:variant>
        <vt:i4>5</vt:i4>
      </vt:variant>
      <vt:variant>
        <vt:lpwstr>https://www.tenders.sa.gov.au/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cp:lastModifiedBy>DPTI</cp:lastModifiedBy>
  <cp:revision>5</cp:revision>
  <cp:lastPrinted>2014-08-26T23:21:00Z</cp:lastPrinted>
  <dcterms:created xsi:type="dcterms:W3CDTF">2017-03-16T06:49:00Z</dcterms:created>
  <dcterms:modified xsi:type="dcterms:W3CDTF">2017-03-17T01:02:00Z</dcterms:modified>
</cp:coreProperties>
</file>